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2086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22912"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2B413E7A" w14:textId="45AAC7F8" w:rsidR="00385C4D" w:rsidRDefault="009A6C49" w:rsidP="00284DAA">
                            <w:pPr>
                              <w:spacing w:before="240" w:line="240" w:lineRule="auto"/>
                              <w:jc w:val="center"/>
                              <w:rPr>
                                <w:b/>
                                <w:color w:val="FFFFFF"/>
                                <w:kern w:val="0"/>
                                <w:sz w:val="56"/>
                                <w:szCs w:val="56"/>
                              </w:rPr>
                            </w:pPr>
                            <w:r>
                              <w:rPr>
                                <w:b/>
                                <w:color w:val="FFFFFF"/>
                                <w:kern w:val="0"/>
                                <w:sz w:val="56"/>
                                <w:szCs w:val="56"/>
                              </w:rPr>
                              <w:t>LUENTO</w:t>
                            </w:r>
                            <w:r w:rsidR="00745676">
                              <w:rPr>
                                <w:b/>
                                <w:color w:val="FFFFFF"/>
                                <w:kern w:val="0"/>
                                <w:sz w:val="56"/>
                                <w:szCs w:val="56"/>
                              </w:rPr>
                              <w:t>MATERIAALI</w:t>
                            </w:r>
                          </w:p>
                          <w:p w14:paraId="170C3826" w14:textId="77777777" w:rsidR="002B0B48" w:rsidRPr="00AC2D57" w:rsidRDefault="002B0B48" w:rsidP="00284DAA">
                            <w:pPr>
                              <w:spacing w:before="240" w:line="240" w:lineRule="auto"/>
                              <w:jc w:val="center"/>
                              <w:rPr>
                                <w:b/>
                                <w:color w:val="FFFFFF"/>
                                <w:kern w:val="0"/>
                                <w:sz w:val="56"/>
                                <w:szCs w:val="56"/>
                              </w:rPr>
                            </w:pPr>
                          </w:p>
                          <w:p w14:paraId="777BA7F2" w14:textId="1F32941E" w:rsidR="00331604" w:rsidRPr="00284DAA" w:rsidRDefault="00745676" w:rsidP="00385C4D">
                            <w:pPr>
                              <w:jc w:val="center"/>
                              <w:rPr>
                                <w:b/>
                                <w:color w:val="FFFFFF" w:themeColor="background1"/>
                                <w:sz w:val="44"/>
                                <w:szCs w:val="44"/>
                              </w:rPr>
                            </w:pPr>
                            <w:r>
                              <w:rPr>
                                <w:color w:val="FFFFFF" w:themeColor="background1"/>
                                <w:sz w:val="44"/>
                                <w:szCs w:val="44"/>
                              </w:rPr>
                              <w:t>Op</w:t>
                            </w:r>
                            <w:r w:rsidR="009A6C49">
                              <w:rPr>
                                <w:color w:val="FFFFFF" w:themeColor="background1"/>
                                <w:sz w:val="44"/>
                                <w:szCs w:val="44"/>
                              </w:rPr>
                              <w:t>into</w:t>
                            </w:r>
                            <w:r>
                              <w:rPr>
                                <w:color w:val="FFFFFF" w:themeColor="background1"/>
                                <w:sz w:val="44"/>
                                <w:szCs w:val="44"/>
                              </w:rPr>
                              <w:t>yksikkö</w:t>
                            </w:r>
                            <w:r w:rsidR="00284DAA">
                              <w:rPr>
                                <w:color w:val="FFFFFF" w:themeColor="background1"/>
                                <w:sz w:val="44"/>
                                <w:szCs w:val="44"/>
                              </w:rPr>
                              <w:t xml:space="preserve"> 3</w:t>
                            </w:r>
                          </w:p>
                          <w:p w14:paraId="180C3D8C" w14:textId="49CD3678" w:rsidR="004146E9" w:rsidRPr="00284DAA" w:rsidRDefault="009A6C49" w:rsidP="00385C4D">
                            <w:pPr>
                              <w:jc w:val="center"/>
                              <w:rPr>
                                <w:rFonts w:ascii="Noto Sans" w:eastAsia="Noto Sans" w:hAnsi="Noto Sans" w:cs="Noto Sans"/>
                                <w:b/>
                                <w:bCs/>
                                <w:color w:val="FFFFFF" w:themeColor="background1"/>
                                <w:sz w:val="44"/>
                                <w:szCs w:val="44"/>
                                <w:lang w:eastAsia="en-US"/>
                              </w:rPr>
                            </w:pPr>
                            <w:r>
                              <w:rPr>
                                <w:color w:val="FFFFFF" w:themeColor="background1"/>
                                <w:sz w:val="44"/>
                                <w:szCs w:val="44"/>
                              </w:rPr>
                              <w:t xml:space="preserve">LUENTO 2: </w:t>
                            </w:r>
                            <w:r w:rsidR="00745676">
                              <w:rPr>
                                <w:color w:val="FFFFFF" w:themeColor="background1"/>
                                <w:sz w:val="44"/>
                                <w:szCs w:val="44"/>
                              </w:rPr>
                              <w:t>ERGONOMIA JA TYÖTURVALLISUUS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2B413E7A" w14:textId="45AAC7F8" w:rsidR="00385C4D" w:rsidRDefault="009A6C49" w:rsidP="00284DAA">
                      <w:pPr>
                        <w:spacing w:before="240" w:line="240" w:lineRule="auto"/>
                        <w:jc w:val="center"/>
                        <w:rPr>
                          <w:b/>
                          <w:color w:val="FFFFFF"/>
                          <w:kern w:val="0"/>
                          <w:sz w:val="56"/>
                          <w:szCs w:val="56"/>
                        </w:rPr>
                      </w:pPr>
                      <w:r>
                        <w:rPr>
                          <w:b/>
                          <w:color w:val="FFFFFF"/>
                          <w:kern w:val="0"/>
                          <w:sz w:val="56"/>
                          <w:szCs w:val="56"/>
                        </w:rPr>
                        <w:t>LUENTO</w:t>
                      </w:r>
                      <w:r w:rsidR="00745676">
                        <w:rPr>
                          <w:b/>
                          <w:color w:val="FFFFFF"/>
                          <w:kern w:val="0"/>
                          <w:sz w:val="56"/>
                          <w:szCs w:val="56"/>
                        </w:rPr>
                        <w:t>MATERIAALI</w:t>
                      </w:r>
                    </w:p>
                    <w:p w14:paraId="170C3826" w14:textId="77777777" w:rsidR="002B0B48" w:rsidRPr="00AC2D57" w:rsidRDefault="002B0B48" w:rsidP="00284DAA">
                      <w:pPr>
                        <w:spacing w:before="240" w:line="240" w:lineRule="auto"/>
                        <w:jc w:val="center"/>
                        <w:rPr>
                          <w:b/>
                          <w:color w:val="FFFFFF"/>
                          <w:kern w:val="0"/>
                          <w:sz w:val="56"/>
                          <w:szCs w:val="56"/>
                        </w:rPr>
                      </w:pPr>
                    </w:p>
                    <w:p w14:paraId="777BA7F2" w14:textId="1F32941E" w:rsidR="00331604" w:rsidRPr="00284DAA" w:rsidRDefault="00745676" w:rsidP="00385C4D">
                      <w:pPr>
                        <w:jc w:val="center"/>
                        <w:rPr>
                          <w:b/>
                          <w:color w:val="FFFFFF" w:themeColor="background1"/>
                          <w:sz w:val="44"/>
                          <w:szCs w:val="44"/>
                        </w:rPr>
                      </w:pPr>
                      <w:r>
                        <w:rPr>
                          <w:color w:val="FFFFFF" w:themeColor="background1"/>
                          <w:sz w:val="44"/>
                          <w:szCs w:val="44"/>
                        </w:rPr>
                        <w:t>Op</w:t>
                      </w:r>
                      <w:r w:rsidR="009A6C49">
                        <w:rPr>
                          <w:color w:val="FFFFFF" w:themeColor="background1"/>
                          <w:sz w:val="44"/>
                          <w:szCs w:val="44"/>
                        </w:rPr>
                        <w:t>into</w:t>
                      </w:r>
                      <w:r>
                        <w:rPr>
                          <w:color w:val="FFFFFF" w:themeColor="background1"/>
                          <w:sz w:val="44"/>
                          <w:szCs w:val="44"/>
                        </w:rPr>
                        <w:t>yksikkö</w:t>
                      </w:r>
                      <w:r w:rsidR="00284DAA">
                        <w:rPr>
                          <w:color w:val="FFFFFF" w:themeColor="background1"/>
                          <w:sz w:val="44"/>
                          <w:szCs w:val="44"/>
                        </w:rPr>
                        <w:t xml:space="preserve"> 3</w:t>
                      </w:r>
                    </w:p>
                    <w:p w14:paraId="180C3D8C" w14:textId="49CD3678" w:rsidR="004146E9" w:rsidRPr="00284DAA" w:rsidRDefault="009A6C49" w:rsidP="00385C4D">
                      <w:pPr>
                        <w:jc w:val="center"/>
                        <w:rPr>
                          <w:rFonts w:ascii="Noto Sans" w:eastAsia="Noto Sans" w:hAnsi="Noto Sans" w:cs="Noto Sans"/>
                          <w:b/>
                          <w:bCs/>
                          <w:color w:val="FFFFFF" w:themeColor="background1"/>
                          <w:sz w:val="44"/>
                          <w:szCs w:val="44"/>
                          <w:lang w:eastAsia="en-US"/>
                        </w:rPr>
                      </w:pPr>
                      <w:r>
                        <w:rPr>
                          <w:color w:val="FFFFFF" w:themeColor="background1"/>
                          <w:sz w:val="44"/>
                          <w:szCs w:val="44"/>
                        </w:rPr>
                        <w:t xml:space="preserve">LUENTO 2: </w:t>
                      </w:r>
                      <w:r w:rsidR="00745676">
                        <w:rPr>
                          <w:color w:val="FFFFFF" w:themeColor="background1"/>
                          <w:sz w:val="44"/>
                          <w:szCs w:val="44"/>
                        </w:rPr>
                        <w:t>ERGONOMIA JA TYÖTURVALLISUUS</w:t>
                      </w:r>
                    </w:p>
                  </w:txbxContent>
                </v:textbox>
              </v:shape>
            </w:pict>
          </mc:Fallback>
        </mc:AlternateContent>
      </w:r>
      <w:r w:rsidR="006C11F9">
        <w:rPr>
          <w:noProof/>
          <w:lang w:val="fi"/>
        </w:rPr>
        <mc:AlternateContent>
          <mc:Choice Requires="wps">
            <w:drawing>
              <wp:anchor distT="0" distB="0" distL="114300" distR="114300" simplePos="0" relativeHeight="251624960"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7E48EC2F" w:rsidR="00806D92" w:rsidRPr="00AC2D5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AC2D57">
                              <w:rPr>
                                <w:color w:val="FFFFFF"/>
                                <w:kern w:val="0"/>
                                <w:sz w:val="32"/>
                                <w:szCs w:val="22"/>
                              </w:rPr>
                              <w:t>UPWOOD</w:t>
                            </w:r>
                          </w:p>
                          <w:p w14:paraId="140233C9" w14:textId="0C94E7C5" w:rsidR="00284DAA" w:rsidRDefault="009A6C49" w:rsidP="00284DA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284DAA" w:rsidRDefault="00D058B3"/>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2566BC08" w14:textId="7E48EC2F" w:rsidR="00806D92" w:rsidRPr="00AC2D5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AC2D57">
                        <w:rPr>
                          <w:color w:val="FFFFFF"/>
                          <w:kern w:val="0"/>
                          <w:sz w:val="32"/>
                          <w:szCs w:val="22"/>
                        </w:rPr>
                        <w:t>UPWOOD</w:t>
                      </w:r>
                    </w:p>
                    <w:p w14:paraId="140233C9" w14:textId="0C94E7C5" w:rsidR="00284DAA" w:rsidRDefault="009A6C49" w:rsidP="00284DA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284DAA" w:rsidRDefault="00D058B3"/>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50B77C64" w:rsidR="00AB688F" w:rsidRPr="002D17AA" w:rsidRDefault="00D01BCB" w:rsidP="002B0B48">
      <w:r>
        <w:rPr>
          <w:lang w:val="fi"/>
        </w:rPr>
        <w:lastRenderedPageBreak/>
        <w:t>Sisällys</w:t>
      </w:r>
    </w:p>
    <w:bookmarkStart w:id="1" w:name="_Toc58902782" w:displacedByCustomXml="next"/>
    <w:bookmarkStart w:id="2" w:name="_Toc58902735" w:displacedByCustomXml="next"/>
    <w:bookmarkStart w:id="3" w:name="_Toc58902590" w:displacedByCustomXml="next"/>
    <w:sdt>
      <w:sdtPr>
        <w:rPr>
          <w:b/>
          <w:bCs/>
          <w:lang w:val="fi-FI"/>
        </w:rPr>
        <w:id w:val="-1853553316"/>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2BB70261" w14:textId="6CEF5391" w:rsidR="00D01BCB" w:rsidRDefault="00621EDC">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99370897" w:history="1">
            <w:r w:rsidR="00D01BCB" w:rsidRPr="00611EEA">
              <w:rPr>
                <w:rStyle w:val="Hyperlinkki"/>
                <w:noProof/>
              </w:rPr>
              <w:t>1.</w:t>
            </w:r>
            <w:r w:rsidR="00D01BCB">
              <w:rPr>
                <w:rFonts w:asciiTheme="minorHAnsi" w:eastAsiaTheme="minorEastAsia" w:hAnsiTheme="minorHAnsi"/>
                <w:noProof/>
                <w:kern w:val="0"/>
                <w:sz w:val="22"/>
                <w:szCs w:val="22"/>
                <w:lang w:val="fi-FI" w:eastAsia="fi-FI"/>
              </w:rPr>
              <w:tab/>
            </w:r>
            <w:r w:rsidR="00D01BCB" w:rsidRPr="00611EEA">
              <w:rPr>
                <w:rStyle w:val="Hyperlinkki"/>
                <w:noProof/>
              </w:rPr>
              <w:t>Johdanto</w:t>
            </w:r>
            <w:r w:rsidR="00D01BCB">
              <w:rPr>
                <w:noProof/>
                <w:webHidden/>
              </w:rPr>
              <w:tab/>
            </w:r>
            <w:r w:rsidR="00D01BCB">
              <w:rPr>
                <w:noProof/>
                <w:webHidden/>
              </w:rPr>
              <w:fldChar w:fldCharType="begin"/>
            </w:r>
            <w:r w:rsidR="00D01BCB">
              <w:rPr>
                <w:noProof/>
                <w:webHidden/>
              </w:rPr>
              <w:instrText xml:space="preserve"> PAGEREF _Toc99370897 \h </w:instrText>
            </w:r>
            <w:r w:rsidR="00D01BCB">
              <w:rPr>
                <w:noProof/>
                <w:webHidden/>
              </w:rPr>
            </w:r>
            <w:r w:rsidR="00D01BCB">
              <w:rPr>
                <w:noProof/>
                <w:webHidden/>
              </w:rPr>
              <w:fldChar w:fldCharType="separate"/>
            </w:r>
            <w:r w:rsidR="00D01BCB">
              <w:rPr>
                <w:noProof/>
                <w:webHidden/>
              </w:rPr>
              <w:t>2</w:t>
            </w:r>
            <w:r w:rsidR="00D01BCB">
              <w:rPr>
                <w:noProof/>
                <w:webHidden/>
              </w:rPr>
              <w:fldChar w:fldCharType="end"/>
            </w:r>
          </w:hyperlink>
        </w:p>
        <w:p w14:paraId="26E3088C" w14:textId="34AE07BF" w:rsidR="00D01BCB" w:rsidRDefault="009C6E7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0898" w:history="1">
            <w:r w:rsidR="00D01BCB" w:rsidRPr="00611EEA">
              <w:rPr>
                <w:rStyle w:val="Hyperlinkki"/>
                <w:noProof/>
              </w:rPr>
              <w:t>2.</w:t>
            </w:r>
            <w:r w:rsidR="00D01BCB">
              <w:rPr>
                <w:rFonts w:asciiTheme="minorHAnsi" w:eastAsiaTheme="minorEastAsia" w:hAnsiTheme="minorHAnsi"/>
                <w:noProof/>
                <w:kern w:val="0"/>
                <w:sz w:val="22"/>
                <w:szCs w:val="22"/>
                <w:lang w:val="fi-FI" w:eastAsia="fi-FI"/>
              </w:rPr>
              <w:tab/>
            </w:r>
            <w:r w:rsidR="00D01BCB" w:rsidRPr="00611EEA">
              <w:rPr>
                <w:rStyle w:val="Hyperlinkki"/>
                <w:noProof/>
              </w:rPr>
              <w:t>Työturvallisuus</w:t>
            </w:r>
            <w:r w:rsidR="00D01BCB">
              <w:rPr>
                <w:noProof/>
                <w:webHidden/>
              </w:rPr>
              <w:tab/>
            </w:r>
            <w:r w:rsidR="00D01BCB">
              <w:rPr>
                <w:noProof/>
                <w:webHidden/>
              </w:rPr>
              <w:fldChar w:fldCharType="begin"/>
            </w:r>
            <w:r w:rsidR="00D01BCB">
              <w:rPr>
                <w:noProof/>
                <w:webHidden/>
              </w:rPr>
              <w:instrText xml:space="preserve"> PAGEREF _Toc99370898 \h </w:instrText>
            </w:r>
            <w:r w:rsidR="00D01BCB">
              <w:rPr>
                <w:noProof/>
                <w:webHidden/>
              </w:rPr>
            </w:r>
            <w:r w:rsidR="00D01BCB">
              <w:rPr>
                <w:noProof/>
                <w:webHidden/>
              </w:rPr>
              <w:fldChar w:fldCharType="separate"/>
            </w:r>
            <w:r w:rsidR="00D01BCB">
              <w:rPr>
                <w:noProof/>
                <w:webHidden/>
              </w:rPr>
              <w:t>3</w:t>
            </w:r>
            <w:r w:rsidR="00D01BCB">
              <w:rPr>
                <w:noProof/>
                <w:webHidden/>
              </w:rPr>
              <w:fldChar w:fldCharType="end"/>
            </w:r>
          </w:hyperlink>
        </w:p>
        <w:p w14:paraId="6ECBBD5F" w14:textId="2BE9C20F" w:rsidR="00D01BCB" w:rsidRDefault="009C6E7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0899" w:history="1">
            <w:r w:rsidR="00D01BCB" w:rsidRPr="00611EEA">
              <w:rPr>
                <w:rStyle w:val="Hyperlinkki"/>
                <w:noProof/>
              </w:rPr>
              <w:t>3.</w:t>
            </w:r>
            <w:r w:rsidR="00D01BCB">
              <w:rPr>
                <w:rFonts w:asciiTheme="minorHAnsi" w:eastAsiaTheme="minorEastAsia" w:hAnsiTheme="minorHAnsi"/>
                <w:noProof/>
                <w:kern w:val="0"/>
                <w:sz w:val="22"/>
                <w:szCs w:val="22"/>
                <w:lang w:val="fi-FI" w:eastAsia="fi-FI"/>
              </w:rPr>
              <w:tab/>
            </w:r>
            <w:r w:rsidR="00D01BCB" w:rsidRPr="00611EEA">
              <w:rPr>
                <w:rStyle w:val="Hyperlinkki"/>
                <w:noProof/>
              </w:rPr>
              <w:t>Ergonomia</w:t>
            </w:r>
            <w:r w:rsidR="00D01BCB">
              <w:rPr>
                <w:noProof/>
                <w:webHidden/>
              </w:rPr>
              <w:tab/>
            </w:r>
            <w:r w:rsidR="00D01BCB">
              <w:rPr>
                <w:noProof/>
                <w:webHidden/>
              </w:rPr>
              <w:fldChar w:fldCharType="begin"/>
            </w:r>
            <w:r w:rsidR="00D01BCB">
              <w:rPr>
                <w:noProof/>
                <w:webHidden/>
              </w:rPr>
              <w:instrText xml:space="preserve"> PAGEREF _Toc99370899 \h </w:instrText>
            </w:r>
            <w:r w:rsidR="00D01BCB">
              <w:rPr>
                <w:noProof/>
                <w:webHidden/>
              </w:rPr>
            </w:r>
            <w:r w:rsidR="00D01BCB">
              <w:rPr>
                <w:noProof/>
                <w:webHidden/>
              </w:rPr>
              <w:fldChar w:fldCharType="separate"/>
            </w:r>
            <w:r w:rsidR="00D01BCB">
              <w:rPr>
                <w:noProof/>
                <w:webHidden/>
              </w:rPr>
              <w:t>3</w:t>
            </w:r>
            <w:r w:rsidR="00D01BCB">
              <w:rPr>
                <w:noProof/>
                <w:webHidden/>
              </w:rPr>
              <w:fldChar w:fldCharType="end"/>
            </w:r>
          </w:hyperlink>
        </w:p>
        <w:p w14:paraId="192CCF8A" w14:textId="081EA535" w:rsidR="00D01BCB" w:rsidRDefault="009C6E7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0900" w:history="1">
            <w:r w:rsidR="00D01BCB" w:rsidRPr="00611EEA">
              <w:rPr>
                <w:rStyle w:val="Hyperlinkki"/>
                <w:noProof/>
              </w:rPr>
              <w:t>4.</w:t>
            </w:r>
            <w:r w:rsidR="00D01BCB">
              <w:rPr>
                <w:rFonts w:asciiTheme="minorHAnsi" w:eastAsiaTheme="minorEastAsia" w:hAnsiTheme="minorHAnsi"/>
                <w:noProof/>
                <w:kern w:val="0"/>
                <w:sz w:val="22"/>
                <w:szCs w:val="22"/>
                <w:lang w:val="fi-FI" w:eastAsia="fi-FI"/>
              </w:rPr>
              <w:tab/>
            </w:r>
            <w:r w:rsidR="00D01BCB" w:rsidRPr="00611EEA">
              <w:rPr>
                <w:rStyle w:val="Hyperlinkki"/>
                <w:noProof/>
              </w:rPr>
              <w:t>Työhyvinvointi</w:t>
            </w:r>
            <w:r w:rsidR="00D01BCB">
              <w:rPr>
                <w:noProof/>
                <w:webHidden/>
              </w:rPr>
              <w:tab/>
            </w:r>
            <w:r w:rsidR="00D01BCB">
              <w:rPr>
                <w:noProof/>
                <w:webHidden/>
              </w:rPr>
              <w:fldChar w:fldCharType="begin"/>
            </w:r>
            <w:r w:rsidR="00D01BCB">
              <w:rPr>
                <w:noProof/>
                <w:webHidden/>
              </w:rPr>
              <w:instrText xml:space="preserve"> PAGEREF _Toc99370900 \h </w:instrText>
            </w:r>
            <w:r w:rsidR="00D01BCB">
              <w:rPr>
                <w:noProof/>
                <w:webHidden/>
              </w:rPr>
            </w:r>
            <w:r w:rsidR="00D01BCB">
              <w:rPr>
                <w:noProof/>
                <w:webHidden/>
              </w:rPr>
              <w:fldChar w:fldCharType="separate"/>
            </w:r>
            <w:r w:rsidR="00D01BCB">
              <w:rPr>
                <w:noProof/>
                <w:webHidden/>
              </w:rPr>
              <w:t>4</w:t>
            </w:r>
            <w:r w:rsidR="00D01BCB">
              <w:rPr>
                <w:noProof/>
                <w:webHidden/>
              </w:rPr>
              <w:fldChar w:fldCharType="end"/>
            </w:r>
          </w:hyperlink>
        </w:p>
        <w:p w14:paraId="67229581" w14:textId="26CD87E4" w:rsidR="00D01BCB" w:rsidRDefault="009C6E7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0901" w:history="1">
            <w:r w:rsidR="00D01BCB" w:rsidRPr="00611EEA">
              <w:rPr>
                <w:rStyle w:val="Hyperlinkki"/>
                <w:noProof/>
              </w:rPr>
              <w:t>5.</w:t>
            </w:r>
            <w:r w:rsidR="00D01BCB">
              <w:rPr>
                <w:rFonts w:asciiTheme="minorHAnsi" w:eastAsiaTheme="minorEastAsia" w:hAnsiTheme="minorHAnsi"/>
                <w:noProof/>
                <w:kern w:val="0"/>
                <w:sz w:val="22"/>
                <w:szCs w:val="22"/>
                <w:lang w:val="fi-FI" w:eastAsia="fi-FI"/>
              </w:rPr>
              <w:tab/>
            </w:r>
            <w:r w:rsidR="00D01BCB" w:rsidRPr="00611EEA">
              <w:rPr>
                <w:rStyle w:val="Hyperlinkki"/>
                <w:noProof/>
              </w:rPr>
              <w:t>Riskien tunnistaminen</w:t>
            </w:r>
            <w:r w:rsidR="00D01BCB">
              <w:rPr>
                <w:noProof/>
                <w:webHidden/>
              </w:rPr>
              <w:tab/>
            </w:r>
            <w:r w:rsidR="00D01BCB">
              <w:rPr>
                <w:noProof/>
                <w:webHidden/>
              </w:rPr>
              <w:fldChar w:fldCharType="begin"/>
            </w:r>
            <w:r w:rsidR="00D01BCB">
              <w:rPr>
                <w:noProof/>
                <w:webHidden/>
              </w:rPr>
              <w:instrText xml:space="preserve"> PAGEREF _Toc99370901 \h </w:instrText>
            </w:r>
            <w:r w:rsidR="00D01BCB">
              <w:rPr>
                <w:noProof/>
                <w:webHidden/>
              </w:rPr>
            </w:r>
            <w:r w:rsidR="00D01BCB">
              <w:rPr>
                <w:noProof/>
                <w:webHidden/>
              </w:rPr>
              <w:fldChar w:fldCharType="separate"/>
            </w:r>
            <w:r w:rsidR="00D01BCB">
              <w:rPr>
                <w:noProof/>
                <w:webHidden/>
              </w:rPr>
              <w:t>5</w:t>
            </w:r>
            <w:r w:rsidR="00D01BCB">
              <w:rPr>
                <w:noProof/>
                <w:webHidden/>
              </w:rPr>
              <w:fldChar w:fldCharType="end"/>
            </w:r>
          </w:hyperlink>
        </w:p>
        <w:p w14:paraId="34CE74CB" w14:textId="67414ED5" w:rsidR="00D01BCB" w:rsidRDefault="009C6E7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0902" w:history="1">
            <w:r w:rsidR="00D01BCB" w:rsidRPr="00611EEA">
              <w:rPr>
                <w:rStyle w:val="Hyperlinkki"/>
                <w:noProof/>
              </w:rPr>
              <w:t>6.</w:t>
            </w:r>
            <w:r w:rsidR="00D01BCB">
              <w:rPr>
                <w:rFonts w:asciiTheme="minorHAnsi" w:eastAsiaTheme="minorEastAsia" w:hAnsiTheme="minorHAnsi"/>
                <w:noProof/>
                <w:kern w:val="0"/>
                <w:sz w:val="22"/>
                <w:szCs w:val="22"/>
                <w:lang w:val="fi-FI" w:eastAsia="fi-FI"/>
              </w:rPr>
              <w:tab/>
            </w:r>
            <w:r w:rsidR="00D01BCB" w:rsidRPr="00611EEA">
              <w:rPr>
                <w:rStyle w:val="Hyperlinkki"/>
                <w:noProof/>
              </w:rPr>
              <w:t>Turvallisuuden työvälineet</w:t>
            </w:r>
            <w:r w:rsidR="00D01BCB">
              <w:rPr>
                <w:noProof/>
                <w:webHidden/>
              </w:rPr>
              <w:tab/>
            </w:r>
            <w:r w:rsidR="00D01BCB">
              <w:rPr>
                <w:noProof/>
                <w:webHidden/>
              </w:rPr>
              <w:fldChar w:fldCharType="begin"/>
            </w:r>
            <w:r w:rsidR="00D01BCB">
              <w:rPr>
                <w:noProof/>
                <w:webHidden/>
              </w:rPr>
              <w:instrText xml:space="preserve"> PAGEREF _Toc99370902 \h </w:instrText>
            </w:r>
            <w:r w:rsidR="00D01BCB">
              <w:rPr>
                <w:noProof/>
                <w:webHidden/>
              </w:rPr>
            </w:r>
            <w:r w:rsidR="00D01BCB">
              <w:rPr>
                <w:noProof/>
                <w:webHidden/>
              </w:rPr>
              <w:fldChar w:fldCharType="separate"/>
            </w:r>
            <w:r w:rsidR="00D01BCB">
              <w:rPr>
                <w:noProof/>
                <w:webHidden/>
              </w:rPr>
              <w:t>6</w:t>
            </w:r>
            <w:r w:rsidR="00D01BCB">
              <w:rPr>
                <w:noProof/>
                <w:webHidden/>
              </w:rPr>
              <w:fldChar w:fldCharType="end"/>
            </w:r>
          </w:hyperlink>
        </w:p>
        <w:p w14:paraId="6F635E0B" w14:textId="5E6B2914" w:rsidR="00D01BCB" w:rsidRDefault="009C6E71">
          <w:pPr>
            <w:pStyle w:val="Sisluet2"/>
            <w:tabs>
              <w:tab w:val="left" w:pos="2313"/>
            </w:tabs>
            <w:rPr>
              <w:rFonts w:asciiTheme="minorHAnsi" w:eastAsiaTheme="minorEastAsia" w:hAnsiTheme="minorHAnsi"/>
              <w:noProof/>
              <w:kern w:val="0"/>
              <w:sz w:val="22"/>
              <w:szCs w:val="22"/>
              <w:lang w:val="fi-FI" w:eastAsia="fi-FI"/>
            </w:rPr>
          </w:pPr>
          <w:hyperlink w:anchor="_Toc99370903" w:history="1">
            <w:r w:rsidR="00D01BCB" w:rsidRPr="00611EEA">
              <w:rPr>
                <w:rStyle w:val="Hyperlinkki"/>
                <w:noProof/>
              </w:rPr>
              <w:t>6.1</w:t>
            </w:r>
            <w:r w:rsidR="00D01BCB">
              <w:rPr>
                <w:rFonts w:asciiTheme="minorHAnsi" w:eastAsiaTheme="minorEastAsia" w:hAnsiTheme="minorHAnsi"/>
                <w:noProof/>
                <w:kern w:val="0"/>
                <w:sz w:val="22"/>
                <w:szCs w:val="22"/>
                <w:lang w:val="fi-FI" w:eastAsia="fi-FI"/>
              </w:rPr>
              <w:tab/>
            </w:r>
            <w:r w:rsidR="00D01BCB" w:rsidRPr="00611EEA">
              <w:rPr>
                <w:rStyle w:val="Hyperlinkki"/>
                <w:noProof/>
              </w:rPr>
              <w:t>Yhteinen työmaa</w:t>
            </w:r>
            <w:r w:rsidR="00D01BCB">
              <w:rPr>
                <w:noProof/>
                <w:webHidden/>
              </w:rPr>
              <w:tab/>
            </w:r>
            <w:r w:rsidR="00D01BCB">
              <w:rPr>
                <w:noProof/>
                <w:webHidden/>
              </w:rPr>
              <w:fldChar w:fldCharType="begin"/>
            </w:r>
            <w:r w:rsidR="00D01BCB">
              <w:rPr>
                <w:noProof/>
                <w:webHidden/>
              </w:rPr>
              <w:instrText xml:space="preserve"> PAGEREF _Toc99370903 \h </w:instrText>
            </w:r>
            <w:r w:rsidR="00D01BCB">
              <w:rPr>
                <w:noProof/>
                <w:webHidden/>
              </w:rPr>
            </w:r>
            <w:r w:rsidR="00D01BCB">
              <w:rPr>
                <w:noProof/>
                <w:webHidden/>
              </w:rPr>
              <w:fldChar w:fldCharType="separate"/>
            </w:r>
            <w:r w:rsidR="00D01BCB">
              <w:rPr>
                <w:noProof/>
                <w:webHidden/>
              </w:rPr>
              <w:t>6</w:t>
            </w:r>
            <w:r w:rsidR="00D01BCB">
              <w:rPr>
                <w:noProof/>
                <w:webHidden/>
              </w:rPr>
              <w:fldChar w:fldCharType="end"/>
            </w:r>
          </w:hyperlink>
        </w:p>
        <w:p w14:paraId="521BC514" w14:textId="58110E7B" w:rsidR="00D01BCB" w:rsidRDefault="009C6E71">
          <w:pPr>
            <w:pStyle w:val="Sisluet2"/>
            <w:tabs>
              <w:tab w:val="left" w:pos="2313"/>
            </w:tabs>
            <w:rPr>
              <w:rFonts w:asciiTheme="minorHAnsi" w:eastAsiaTheme="minorEastAsia" w:hAnsiTheme="minorHAnsi"/>
              <w:noProof/>
              <w:kern w:val="0"/>
              <w:sz w:val="22"/>
              <w:szCs w:val="22"/>
              <w:lang w:val="fi-FI" w:eastAsia="fi-FI"/>
            </w:rPr>
          </w:pPr>
          <w:hyperlink w:anchor="_Toc99370904" w:history="1">
            <w:r w:rsidR="00D01BCB" w:rsidRPr="00611EEA">
              <w:rPr>
                <w:rStyle w:val="Hyperlinkki"/>
                <w:noProof/>
              </w:rPr>
              <w:t>6.2</w:t>
            </w:r>
            <w:r w:rsidR="00D01BCB">
              <w:rPr>
                <w:rFonts w:asciiTheme="minorHAnsi" w:eastAsiaTheme="minorEastAsia" w:hAnsiTheme="minorHAnsi"/>
                <w:noProof/>
                <w:kern w:val="0"/>
                <w:sz w:val="22"/>
                <w:szCs w:val="22"/>
                <w:lang w:val="fi-FI" w:eastAsia="fi-FI"/>
              </w:rPr>
              <w:tab/>
            </w:r>
            <w:r w:rsidR="00D01BCB" w:rsidRPr="00611EEA">
              <w:rPr>
                <w:rStyle w:val="Hyperlinkki"/>
                <w:noProof/>
              </w:rPr>
              <w:t>Nolla tapaturmaa -ajattelu</w:t>
            </w:r>
            <w:r w:rsidR="00D01BCB">
              <w:rPr>
                <w:noProof/>
                <w:webHidden/>
              </w:rPr>
              <w:tab/>
            </w:r>
            <w:r w:rsidR="00D01BCB">
              <w:rPr>
                <w:noProof/>
                <w:webHidden/>
              </w:rPr>
              <w:fldChar w:fldCharType="begin"/>
            </w:r>
            <w:r w:rsidR="00D01BCB">
              <w:rPr>
                <w:noProof/>
                <w:webHidden/>
              </w:rPr>
              <w:instrText xml:space="preserve"> PAGEREF _Toc99370904 \h </w:instrText>
            </w:r>
            <w:r w:rsidR="00D01BCB">
              <w:rPr>
                <w:noProof/>
                <w:webHidden/>
              </w:rPr>
            </w:r>
            <w:r w:rsidR="00D01BCB">
              <w:rPr>
                <w:noProof/>
                <w:webHidden/>
              </w:rPr>
              <w:fldChar w:fldCharType="separate"/>
            </w:r>
            <w:r w:rsidR="00D01BCB">
              <w:rPr>
                <w:noProof/>
                <w:webHidden/>
              </w:rPr>
              <w:t>6</w:t>
            </w:r>
            <w:r w:rsidR="00D01BCB">
              <w:rPr>
                <w:noProof/>
                <w:webHidden/>
              </w:rPr>
              <w:fldChar w:fldCharType="end"/>
            </w:r>
          </w:hyperlink>
        </w:p>
        <w:p w14:paraId="0E647E7D" w14:textId="7DA50F17" w:rsidR="00D01BCB" w:rsidRDefault="009C6E71">
          <w:pPr>
            <w:pStyle w:val="Sisluet2"/>
            <w:rPr>
              <w:rFonts w:asciiTheme="minorHAnsi" w:eastAsiaTheme="minorEastAsia" w:hAnsiTheme="minorHAnsi"/>
              <w:noProof/>
              <w:kern w:val="0"/>
              <w:sz w:val="22"/>
              <w:szCs w:val="22"/>
              <w:lang w:val="fi-FI" w:eastAsia="fi-FI"/>
            </w:rPr>
          </w:pPr>
          <w:hyperlink w:anchor="_Toc99370905" w:history="1">
            <w:r w:rsidR="00D01BCB" w:rsidRPr="00611EEA">
              <w:rPr>
                <w:rStyle w:val="Hyperlinkki"/>
                <w:noProof/>
              </w:rPr>
              <w:t>7.3 Turvallisuushavainto</w:t>
            </w:r>
            <w:r w:rsidR="00D01BCB">
              <w:rPr>
                <w:noProof/>
                <w:webHidden/>
              </w:rPr>
              <w:tab/>
            </w:r>
            <w:r w:rsidR="00D01BCB">
              <w:rPr>
                <w:noProof/>
                <w:webHidden/>
              </w:rPr>
              <w:fldChar w:fldCharType="begin"/>
            </w:r>
            <w:r w:rsidR="00D01BCB">
              <w:rPr>
                <w:noProof/>
                <w:webHidden/>
              </w:rPr>
              <w:instrText xml:space="preserve"> PAGEREF _Toc99370905 \h </w:instrText>
            </w:r>
            <w:r w:rsidR="00D01BCB">
              <w:rPr>
                <w:noProof/>
                <w:webHidden/>
              </w:rPr>
            </w:r>
            <w:r w:rsidR="00D01BCB">
              <w:rPr>
                <w:noProof/>
                <w:webHidden/>
              </w:rPr>
              <w:fldChar w:fldCharType="separate"/>
            </w:r>
            <w:r w:rsidR="00D01BCB">
              <w:rPr>
                <w:noProof/>
                <w:webHidden/>
              </w:rPr>
              <w:t>7</w:t>
            </w:r>
            <w:r w:rsidR="00D01BCB">
              <w:rPr>
                <w:noProof/>
                <w:webHidden/>
              </w:rPr>
              <w:fldChar w:fldCharType="end"/>
            </w:r>
          </w:hyperlink>
        </w:p>
        <w:p w14:paraId="40553C4E" w14:textId="450B4B9D" w:rsidR="00D01BCB" w:rsidRDefault="009C6E71">
          <w:pPr>
            <w:pStyle w:val="Sisluet2"/>
            <w:tabs>
              <w:tab w:val="left" w:pos="2313"/>
            </w:tabs>
            <w:rPr>
              <w:rFonts w:asciiTheme="minorHAnsi" w:eastAsiaTheme="minorEastAsia" w:hAnsiTheme="minorHAnsi"/>
              <w:noProof/>
              <w:kern w:val="0"/>
              <w:sz w:val="22"/>
              <w:szCs w:val="22"/>
              <w:lang w:val="fi-FI" w:eastAsia="fi-FI"/>
            </w:rPr>
          </w:pPr>
          <w:hyperlink w:anchor="_Toc99370906" w:history="1">
            <w:r w:rsidR="00D01BCB" w:rsidRPr="00611EEA">
              <w:rPr>
                <w:rStyle w:val="Hyperlinkki"/>
                <w:noProof/>
              </w:rPr>
              <w:t>6.4</w:t>
            </w:r>
            <w:r w:rsidR="00D01BCB">
              <w:rPr>
                <w:rFonts w:asciiTheme="minorHAnsi" w:eastAsiaTheme="minorEastAsia" w:hAnsiTheme="minorHAnsi"/>
                <w:noProof/>
                <w:kern w:val="0"/>
                <w:sz w:val="22"/>
                <w:szCs w:val="22"/>
                <w:lang w:val="fi-FI" w:eastAsia="fi-FI"/>
              </w:rPr>
              <w:tab/>
            </w:r>
            <w:r w:rsidR="00D01BCB" w:rsidRPr="00611EEA">
              <w:rPr>
                <w:rStyle w:val="Hyperlinkki"/>
                <w:noProof/>
              </w:rPr>
              <w:t>Perehdytys</w:t>
            </w:r>
            <w:r w:rsidR="00D01BCB">
              <w:rPr>
                <w:noProof/>
                <w:webHidden/>
              </w:rPr>
              <w:tab/>
            </w:r>
            <w:r w:rsidR="00D01BCB">
              <w:rPr>
                <w:noProof/>
                <w:webHidden/>
              </w:rPr>
              <w:fldChar w:fldCharType="begin"/>
            </w:r>
            <w:r w:rsidR="00D01BCB">
              <w:rPr>
                <w:noProof/>
                <w:webHidden/>
              </w:rPr>
              <w:instrText xml:space="preserve"> PAGEREF _Toc99370906 \h </w:instrText>
            </w:r>
            <w:r w:rsidR="00D01BCB">
              <w:rPr>
                <w:noProof/>
                <w:webHidden/>
              </w:rPr>
            </w:r>
            <w:r w:rsidR="00D01BCB">
              <w:rPr>
                <w:noProof/>
                <w:webHidden/>
              </w:rPr>
              <w:fldChar w:fldCharType="separate"/>
            </w:r>
            <w:r w:rsidR="00D01BCB">
              <w:rPr>
                <w:noProof/>
                <w:webHidden/>
              </w:rPr>
              <w:t>7</w:t>
            </w:r>
            <w:r w:rsidR="00D01BCB">
              <w:rPr>
                <w:noProof/>
                <w:webHidden/>
              </w:rPr>
              <w:fldChar w:fldCharType="end"/>
            </w:r>
          </w:hyperlink>
        </w:p>
        <w:p w14:paraId="20F74D56" w14:textId="605E554C" w:rsidR="00D01BCB" w:rsidRDefault="009C6E71">
          <w:pPr>
            <w:pStyle w:val="Sisluet2"/>
            <w:tabs>
              <w:tab w:val="left" w:pos="2313"/>
            </w:tabs>
            <w:rPr>
              <w:rFonts w:asciiTheme="minorHAnsi" w:eastAsiaTheme="minorEastAsia" w:hAnsiTheme="minorHAnsi"/>
              <w:noProof/>
              <w:kern w:val="0"/>
              <w:sz w:val="22"/>
              <w:szCs w:val="22"/>
              <w:lang w:val="fi-FI" w:eastAsia="fi-FI"/>
            </w:rPr>
          </w:pPr>
          <w:hyperlink w:anchor="_Toc99370907" w:history="1">
            <w:r w:rsidR="00D01BCB" w:rsidRPr="00611EEA">
              <w:rPr>
                <w:rStyle w:val="Hyperlinkki"/>
                <w:noProof/>
              </w:rPr>
              <w:t>6.5</w:t>
            </w:r>
            <w:r w:rsidR="00D01BCB">
              <w:rPr>
                <w:rFonts w:asciiTheme="minorHAnsi" w:eastAsiaTheme="minorEastAsia" w:hAnsiTheme="minorHAnsi"/>
                <w:noProof/>
                <w:kern w:val="0"/>
                <w:sz w:val="22"/>
                <w:szCs w:val="22"/>
                <w:lang w:val="fi-FI" w:eastAsia="fi-FI"/>
              </w:rPr>
              <w:tab/>
            </w:r>
            <w:r w:rsidR="00D01BCB" w:rsidRPr="00611EEA">
              <w:rPr>
                <w:rStyle w:val="Hyperlinkki"/>
                <w:noProof/>
              </w:rPr>
              <w:t>Työhönopastus</w:t>
            </w:r>
            <w:r w:rsidR="00D01BCB">
              <w:rPr>
                <w:noProof/>
                <w:webHidden/>
              </w:rPr>
              <w:tab/>
            </w:r>
            <w:r w:rsidR="00D01BCB">
              <w:rPr>
                <w:noProof/>
                <w:webHidden/>
              </w:rPr>
              <w:fldChar w:fldCharType="begin"/>
            </w:r>
            <w:r w:rsidR="00D01BCB">
              <w:rPr>
                <w:noProof/>
                <w:webHidden/>
              </w:rPr>
              <w:instrText xml:space="preserve"> PAGEREF _Toc99370907 \h </w:instrText>
            </w:r>
            <w:r w:rsidR="00D01BCB">
              <w:rPr>
                <w:noProof/>
                <w:webHidden/>
              </w:rPr>
            </w:r>
            <w:r w:rsidR="00D01BCB">
              <w:rPr>
                <w:noProof/>
                <w:webHidden/>
              </w:rPr>
              <w:fldChar w:fldCharType="separate"/>
            </w:r>
            <w:r w:rsidR="00D01BCB">
              <w:rPr>
                <w:noProof/>
                <w:webHidden/>
              </w:rPr>
              <w:t>9</w:t>
            </w:r>
            <w:r w:rsidR="00D01BCB">
              <w:rPr>
                <w:noProof/>
                <w:webHidden/>
              </w:rPr>
              <w:fldChar w:fldCharType="end"/>
            </w:r>
          </w:hyperlink>
        </w:p>
        <w:p w14:paraId="4A5E9D48" w14:textId="38B27411" w:rsidR="00D01BCB" w:rsidRDefault="009C6E71">
          <w:pPr>
            <w:pStyle w:val="Sisluet2"/>
            <w:tabs>
              <w:tab w:val="left" w:pos="2313"/>
            </w:tabs>
            <w:rPr>
              <w:rFonts w:asciiTheme="minorHAnsi" w:eastAsiaTheme="minorEastAsia" w:hAnsiTheme="minorHAnsi"/>
              <w:noProof/>
              <w:kern w:val="0"/>
              <w:sz w:val="22"/>
              <w:szCs w:val="22"/>
              <w:lang w:val="fi-FI" w:eastAsia="fi-FI"/>
            </w:rPr>
          </w:pPr>
          <w:hyperlink w:anchor="_Toc99370908" w:history="1">
            <w:r w:rsidR="00D01BCB" w:rsidRPr="00611EEA">
              <w:rPr>
                <w:rStyle w:val="Hyperlinkki"/>
                <w:noProof/>
              </w:rPr>
              <w:t>6.6</w:t>
            </w:r>
            <w:r w:rsidR="00D01BCB">
              <w:rPr>
                <w:rFonts w:asciiTheme="minorHAnsi" w:eastAsiaTheme="minorEastAsia" w:hAnsiTheme="minorHAnsi"/>
                <w:noProof/>
                <w:kern w:val="0"/>
                <w:sz w:val="22"/>
                <w:szCs w:val="22"/>
                <w:lang w:val="fi-FI" w:eastAsia="fi-FI"/>
              </w:rPr>
              <w:tab/>
            </w:r>
            <w:r w:rsidR="00D01BCB" w:rsidRPr="00611EEA">
              <w:rPr>
                <w:rStyle w:val="Hyperlinkki"/>
                <w:noProof/>
              </w:rPr>
              <w:t>Suojavarustus</w:t>
            </w:r>
            <w:r w:rsidR="00D01BCB">
              <w:rPr>
                <w:noProof/>
                <w:webHidden/>
              </w:rPr>
              <w:tab/>
            </w:r>
            <w:r w:rsidR="00D01BCB">
              <w:rPr>
                <w:noProof/>
                <w:webHidden/>
              </w:rPr>
              <w:fldChar w:fldCharType="begin"/>
            </w:r>
            <w:r w:rsidR="00D01BCB">
              <w:rPr>
                <w:noProof/>
                <w:webHidden/>
              </w:rPr>
              <w:instrText xml:space="preserve"> PAGEREF _Toc99370908 \h </w:instrText>
            </w:r>
            <w:r w:rsidR="00D01BCB">
              <w:rPr>
                <w:noProof/>
                <w:webHidden/>
              </w:rPr>
            </w:r>
            <w:r w:rsidR="00D01BCB">
              <w:rPr>
                <w:noProof/>
                <w:webHidden/>
              </w:rPr>
              <w:fldChar w:fldCharType="separate"/>
            </w:r>
            <w:r w:rsidR="00D01BCB">
              <w:rPr>
                <w:noProof/>
                <w:webHidden/>
              </w:rPr>
              <w:t>9</w:t>
            </w:r>
            <w:r w:rsidR="00D01BCB">
              <w:rPr>
                <w:noProof/>
                <w:webHidden/>
              </w:rPr>
              <w:fldChar w:fldCharType="end"/>
            </w:r>
          </w:hyperlink>
        </w:p>
        <w:p w14:paraId="2AC4A01C" w14:textId="3621A070" w:rsidR="00D01BCB" w:rsidRDefault="009C6E71">
          <w:pPr>
            <w:pStyle w:val="Sisluet2"/>
            <w:tabs>
              <w:tab w:val="left" w:pos="2313"/>
            </w:tabs>
            <w:rPr>
              <w:rFonts w:asciiTheme="minorHAnsi" w:eastAsiaTheme="minorEastAsia" w:hAnsiTheme="minorHAnsi"/>
              <w:noProof/>
              <w:kern w:val="0"/>
              <w:sz w:val="22"/>
              <w:szCs w:val="22"/>
              <w:lang w:val="fi-FI" w:eastAsia="fi-FI"/>
            </w:rPr>
          </w:pPr>
          <w:hyperlink w:anchor="_Toc99370909" w:history="1">
            <w:r w:rsidR="00D01BCB" w:rsidRPr="00611EEA">
              <w:rPr>
                <w:rStyle w:val="Hyperlinkki"/>
                <w:noProof/>
              </w:rPr>
              <w:t>6.7</w:t>
            </w:r>
            <w:r w:rsidR="00D01BCB">
              <w:rPr>
                <w:rFonts w:asciiTheme="minorHAnsi" w:eastAsiaTheme="minorEastAsia" w:hAnsiTheme="minorHAnsi"/>
                <w:noProof/>
                <w:kern w:val="0"/>
                <w:sz w:val="22"/>
                <w:szCs w:val="22"/>
                <w:lang w:val="fi-FI" w:eastAsia="fi-FI"/>
              </w:rPr>
              <w:tab/>
            </w:r>
            <w:r w:rsidR="00D01BCB" w:rsidRPr="00611EEA">
              <w:rPr>
                <w:rStyle w:val="Hyperlinkki"/>
                <w:noProof/>
              </w:rPr>
              <w:t>Valjastyöskentely</w:t>
            </w:r>
            <w:r w:rsidR="00D01BCB">
              <w:rPr>
                <w:noProof/>
                <w:webHidden/>
              </w:rPr>
              <w:tab/>
            </w:r>
            <w:r w:rsidR="00D01BCB">
              <w:rPr>
                <w:noProof/>
                <w:webHidden/>
              </w:rPr>
              <w:fldChar w:fldCharType="begin"/>
            </w:r>
            <w:r w:rsidR="00D01BCB">
              <w:rPr>
                <w:noProof/>
                <w:webHidden/>
              </w:rPr>
              <w:instrText xml:space="preserve"> PAGEREF _Toc99370909 \h </w:instrText>
            </w:r>
            <w:r w:rsidR="00D01BCB">
              <w:rPr>
                <w:noProof/>
                <w:webHidden/>
              </w:rPr>
            </w:r>
            <w:r w:rsidR="00D01BCB">
              <w:rPr>
                <w:noProof/>
                <w:webHidden/>
              </w:rPr>
              <w:fldChar w:fldCharType="separate"/>
            </w:r>
            <w:r w:rsidR="00D01BCB">
              <w:rPr>
                <w:noProof/>
                <w:webHidden/>
              </w:rPr>
              <w:t>10</w:t>
            </w:r>
            <w:r w:rsidR="00D01BCB">
              <w:rPr>
                <w:noProof/>
                <w:webHidden/>
              </w:rPr>
              <w:fldChar w:fldCharType="end"/>
            </w:r>
          </w:hyperlink>
        </w:p>
        <w:p w14:paraId="543F1A8D" w14:textId="2B3D6277" w:rsidR="00D01BCB" w:rsidRDefault="009C6E71">
          <w:pPr>
            <w:pStyle w:val="Sisluet2"/>
            <w:tabs>
              <w:tab w:val="left" w:pos="2313"/>
            </w:tabs>
            <w:rPr>
              <w:rFonts w:asciiTheme="minorHAnsi" w:eastAsiaTheme="minorEastAsia" w:hAnsiTheme="minorHAnsi"/>
              <w:noProof/>
              <w:kern w:val="0"/>
              <w:sz w:val="22"/>
              <w:szCs w:val="22"/>
              <w:lang w:val="fi-FI" w:eastAsia="fi-FI"/>
            </w:rPr>
          </w:pPr>
          <w:hyperlink w:anchor="_Toc99370910" w:history="1">
            <w:r w:rsidR="00D01BCB" w:rsidRPr="00611EEA">
              <w:rPr>
                <w:rStyle w:val="Hyperlinkki"/>
                <w:noProof/>
              </w:rPr>
              <w:t>6.8</w:t>
            </w:r>
            <w:r w:rsidR="00D01BCB">
              <w:rPr>
                <w:rFonts w:asciiTheme="minorHAnsi" w:eastAsiaTheme="minorEastAsia" w:hAnsiTheme="minorHAnsi"/>
                <w:noProof/>
                <w:kern w:val="0"/>
                <w:sz w:val="22"/>
                <w:szCs w:val="22"/>
                <w:lang w:val="fi-FI" w:eastAsia="fi-FI"/>
              </w:rPr>
              <w:tab/>
            </w:r>
            <w:r w:rsidR="00D01BCB" w:rsidRPr="00611EEA">
              <w:rPr>
                <w:rStyle w:val="Hyperlinkki"/>
                <w:noProof/>
              </w:rPr>
              <w:t>Nostoapuvälineet</w:t>
            </w:r>
            <w:r w:rsidR="00D01BCB">
              <w:rPr>
                <w:noProof/>
                <w:webHidden/>
              </w:rPr>
              <w:tab/>
            </w:r>
            <w:r w:rsidR="00D01BCB">
              <w:rPr>
                <w:noProof/>
                <w:webHidden/>
              </w:rPr>
              <w:fldChar w:fldCharType="begin"/>
            </w:r>
            <w:r w:rsidR="00D01BCB">
              <w:rPr>
                <w:noProof/>
                <w:webHidden/>
              </w:rPr>
              <w:instrText xml:space="preserve"> PAGEREF _Toc99370910 \h </w:instrText>
            </w:r>
            <w:r w:rsidR="00D01BCB">
              <w:rPr>
                <w:noProof/>
                <w:webHidden/>
              </w:rPr>
            </w:r>
            <w:r w:rsidR="00D01BCB">
              <w:rPr>
                <w:noProof/>
                <w:webHidden/>
              </w:rPr>
              <w:fldChar w:fldCharType="separate"/>
            </w:r>
            <w:r w:rsidR="00D01BCB">
              <w:rPr>
                <w:noProof/>
                <w:webHidden/>
              </w:rPr>
              <w:t>10</w:t>
            </w:r>
            <w:r w:rsidR="00D01BCB">
              <w:rPr>
                <w:noProof/>
                <w:webHidden/>
              </w:rPr>
              <w:fldChar w:fldCharType="end"/>
            </w:r>
          </w:hyperlink>
        </w:p>
        <w:p w14:paraId="13EA7EE6" w14:textId="1C3313FD" w:rsidR="00D01BCB" w:rsidRDefault="009C6E71">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70911" w:history="1">
            <w:r w:rsidR="00D01BCB" w:rsidRPr="00611EEA">
              <w:rPr>
                <w:rStyle w:val="Hyperlinkki"/>
                <w:noProof/>
              </w:rPr>
              <w:t>7.</w:t>
            </w:r>
            <w:r w:rsidR="00D01BCB">
              <w:rPr>
                <w:rFonts w:asciiTheme="minorHAnsi" w:eastAsiaTheme="minorEastAsia" w:hAnsiTheme="minorHAnsi"/>
                <w:noProof/>
                <w:kern w:val="0"/>
                <w:sz w:val="22"/>
                <w:szCs w:val="22"/>
                <w:lang w:val="fi-FI" w:eastAsia="fi-FI"/>
              </w:rPr>
              <w:tab/>
            </w:r>
            <w:r w:rsidR="00D01BCB" w:rsidRPr="00611EEA">
              <w:rPr>
                <w:rStyle w:val="Hyperlinkki"/>
                <w:noProof/>
              </w:rPr>
              <w:t>Lähteet</w:t>
            </w:r>
            <w:r w:rsidR="00D01BCB">
              <w:rPr>
                <w:noProof/>
                <w:webHidden/>
              </w:rPr>
              <w:tab/>
            </w:r>
            <w:r w:rsidR="00D01BCB">
              <w:rPr>
                <w:noProof/>
                <w:webHidden/>
              </w:rPr>
              <w:fldChar w:fldCharType="begin"/>
            </w:r>
            <w:r w:rsidR="00D01BCB">
              <w:rPr>
                <w:noProof/>
                <w:webHidden/>
              </w:rPr>
              <w:instrText xml:space="preserve"> PAGEREF _Toc99370911 \h </w:instrText>
            </w:r>
            <w:r w:rsidR="00D01BCB">
              <w:rPr>
                <w:noProof/>
                <w:webHidden/>
              </w:rPr>
            </w:r>
            <w:r w:rsidR="00D01BCB">
              <w:rPr>
                <w:noProof/>
                <w:webHidden/>
              </w:rPr>
              <w:fldChar w:fldCharType="separate"/>
            </w:r>
            <w:r w:rsidR="00D01BCB">
              <w:rPr>
                <w:noProof/>
                <w:webHidden/>
              </w:rPr>
              <w:t>11</w:t>
            </w:r>
            <w:r w:rsidR="00D01BCB">
              <w:rPr>
                <w:noProof/>
                <w:webHidden/>
              </w:rPr>
              <w:fldChar w:fldCharType="end"/>
            </w:r>
          </w:hyperlink>
        </w:p>
        <w:p w14:paraId="240D15F6" w14:textId="2612F1B5" w:rsidR="00621EDC" w:rsidRDefault="00621EDC">
          <w:r>
            <w:rPr>
              <w:b/>
              <w:bCs/>
            </w:rPr>
            <w:fldChar w:fldCharType="end"/>
          </w:r>
        </w:p>
      </w:sdtContent>
    </w:sdt>
    <w:p w14:paraId="11C1272A" w14:textId="31ED1BA8"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4A1D7795" w:rsidR="00FE0C7A" w:rsidRPr="00C94DE8" w:rsidRDefault="00745676" w:rsidP="00C94DE8">
      <w:pPr>
        <w:pStyle w:val="Otsikko1"/>
      </w:pPr>
      <w:bookmarkStart w:id="4" w:name="_Toc99370897"/>
      <w:bookmarkEnd w:id="0"/>
      <w:r>
        <w:lastRenderedPageBreak/>
        <w:t>Johdanto</w:t>
      </w:r>
      <w:bookmarkEnd w:id="4"/>
    </w:p>
    <w:p w14:paraId="185EDBB1" w14:textId="77777777" w:rsidR="00745676" w:rsidRDefault="00745676" w:rsidP="00745676">
      <w:pPr>
        <w:rPr>
          <w:lang w:val="fi-FI"/>
        </w:rPr>
      </w:pPr>
      <w:r>
        <w:rPr>
          <w:lang w:val="fi-FI"/>
        </w:rPr>
        <w:t xml:space="preserve">Rakennusalan työturvallisuusvelvoitteet on määritelty laissa ja asetuksissa. </w:t>
      </w:r>
    </w:p>
    <w:p w14:paraId="0A1EDECF" w14:textId="77777777" w:rsidR="00745676" w:rsidRDefault="00745676" w:rsidP="00745676">
      <w:pPr>
        <w:rPr>
          <w:lang w:val="fi-FI"/>
        </w:rPr>
      </w:pPr>
      <w:r>
        <w:rPr>
          <w:lang w:val="fi-FI"/>
        </w:rPr>
        <w:t xml:space="preserve">Euroopan Unionissa työturvallisuudesta on määrätty direktiivillä. Direktiivi on osa kansallista lainsäädäntöä ja Euroopan unionista tehdyn sopimuksen nojalla annettu säädös on kaikilta osiltaan sitova. </w:t>
      </w:r>
    </w:p>
    <w:p w14:paraId="5D5665F1" w14:textId="77777777" w:rsidR="00745676" w:rsidRDefault="00745676" w:rsidP="00745676">
      <w:pPr>
        <w:rPr>
          <w:lang w:val="fi-FI"/>
        </w:rPr>
      </w:pPr>
      <w:r>
        <w:rPr>
          <w:lang w:val="fi-FI"/>
        </w:rPr>
        <w:t xml:space="preserve">EU:n jäsenvaltiolla voi olla olemassa kansallisia työturvallisuuteen liittyviä lakeja, joiden siis täytyy olla yhteneväinen EU direktiivin kanssa. Esimerkiksi Suomessa laki työturvallisuudesta: Työturvallisuuslaki 738/2002. </w:t>
      </w:r>
    </w:p>
    <w:p w14:paraId="5691B7F9" w14:textId="77777777" w:rsidR="00745676" w:rsidRDefault="00745676" w:rsidP="00745676">
      <w:pPr>
        <w:rPr>
          <w:lang w:val="fi-FI"/>
        </w:rPr>
      </w:pPr>
      <w:r>
        <w:rPr>
          <w:lang w:val="fi-FI"/>
        </w:rPr>
        <w:t>Jäsenvaltio voi säätää tasavallan presidentin tai valtioneuvoston asetuksia. Esimerkiksi: Valtioneuvoston asetus rakennustyön turvallisuudesta 205/2009.</w:t>
      </w:r>
    </w:p>
    <w:p w14:paraId="2F4BBB1A" w14:textId="77777777" w:rsidR="00745676" w:rsidRDefault="00745676" w:rsidP="00745676">
      <w:pPr>
        <w:rPr>
          <w:lang w:val="fi-FI"/>
        </w:rPr>
      </w:pPr>
      <w:r>
        <w:rPr>
          <w:lang w:val="fi-FI"/>
        </w:rPr>
        <w:t>Lisäksi on jäsenvaltion voi tehdä päätöksen, jolla täsmennetään lakia tai asetusta. Esimerkiksi: Valtioneuvoston päätös henkilönsuojainten valinnasta ja käytöstä työssä 1407/1993.</w:t>
      </w:r>
    </w:p>
    <w:p w14:paraId="05C5E2D0" w14:textId="77777777" w:rsidR="00226C63" w:rsidRPr="00F85C9D" w:rsidRDefault="00226C63" w:rsidP="004C25A9"/>
    <w:p w14:paraId="423ED2BB" w14:textId="52468CB1" w:rsidR="00226C63" w:rsidRPr="00F85C9D" w:rsidRDefault="00226C63" w:rsidP="00226C63">
      <w:pPr>
        <w:spacing w:after="0" w:line="240" w:lineRule="auto"/>
        <w:jc w:val="left"/>
      </w:pPr>
      <w:r w:rsidRPr="00F85C9D">
        <w:br w:type="page"/>
      </w:r>
    </w:p>
    <w:p w14:paraId="426938C1" w14:textId="161D8623" w:rsidR="00CA0958" w:rsidRPr="00CA0958" w:rsidRDefault="00745676" w:rsidP="00CA0958">
      <w:pPr>
        <w:pStyle w:val="Otsikko1"/>
      </w:pPr>
      <w:bookmarkStart w:id="5" w:name="_Toc99370898"/>
      <w:r>
        <w:lastRenderedPageBreak/>
        <w:t>Työturvallisuus</w:t>
      </w:r>
      <w:bookmarkEnd w:id="5"/>
    </w:p>
    <w:p w14:paraId="4082984D" w14:textId="5F6AB301" w:rsidR="00745676" w:rsidRPr="00745676" w:rsidRDefault="00745676" w:rsidP="00F85C9D">
      <w:pPr>
        <w:rPr>
          <w:lang w:val="fi-FI"/>
        </w:rPr>
      </w:pPr>
      <w:r>
        <w:rPr>
          <w:lang w:val="fi-FI"/>
        </w:rPr>
        <w:t>Rakennusala on työturvallisuuden näkökulmasta tarkasteltuna haasteellinen, sillä se poikkeaa muista aloista työ dynaamisuudellaan ja liikkuvuudellaan. Muuttuvien olosuhteiden, työkohteiden vaihtuvuuden ja useiden urakoitsijoiden samanaikainen toiminta yhteisellä työmaalla aiheuttavat haasteita työturvallisuuden takaamiselle, sekä lisäksi korjausrakentamisessa korostuvat kemiallisista altisteista johtuvat terveysongelmat. Työtapaturmariskin lisäksi rakennustyössä altistutaan mm. melulle, erilaisille pölyille, lämpötilan ja sääolosuhteiden vaihtelulle. Työnantajalla onkin velvollisuus jatkuvasti seurata, että työntekijät noudattavat annettuja ohjeita, ja puuttua esille tuleviin turvallisuusriskeihin välittömästi.</w:t>
      </w:r>
    </w:p>
    <w:p w14:paraId="1ADDA603" w14:textId="24A3740A" w:rsidR="00745676" w:rsidRPr="00745676" w:rsidRDefault="00745676" w:rsidP="00F85C9D">
      <w:pPr>
        <w:rPr>
          <w:lang w:val="fi-FI"/>
        </w:rPr>
      </w:pPr>
      <w:r>
        <w:rPr>
          <w:lang w:val="fi-FI"/>
        </w:rPr>
        <w:t xml:space="preserve">Työntekijän on oman työturvallisuuden lisäksi otettava huomioon, että työstä ei aiheudu vaaraa muille työmaan työntekijöille, sekä noudatettava työnantajan ohjeita työturvallisuudesta ja käytettävä yhteisellä työmaalla aina säädösten mukaisia henkilönsuojaimia. Hänen on pidettävä yllä siisteyttä ja järjestystä, sekä tuotava esille havaitsemansa turvallisuuteen liittyvät puutteet tai vaarakohdat, eikä saa poistaa koneen tai laitteen suojalaitteita. </w:t>
      </w:r>
    </w:p>
    <w:p w14:paraId="0835B9CE" w14:textId="23682890" w:rsidR="00745676" w:rsidRPr="00745676" w:rsidRDefault="00745676" w:rsidP="00F85C9D">
      <w:pPr>
        <w:rPr>
          <w:lang w:val="fi-FI"/>
        </w:rPr>
      </w:pPr>
      <w:r>
        <w:rPr>
          <w:lang w:val="fi-FI"/>
        </w:rPr>
        <w:t>Erityistä huolellisuutta noudatetaan, kun työskennellään paikoissa, joissa on putoamisvaara. Varmistetaan, että käyttöön otetut tikkaat, työpukit ja -telineet sekä valjaat ovat hyväkuntoiset ja asetusten mukaiset. Koneita, työvälineitä sekä työtä helpottavia apuvälineitä käytetään ja huolletaan käyttöohjeiden, sekä työhön opastuksessa saatujen ohjeiden mukaisesti.</w:t>
      </w:r>
    </w:p>
    <w:p w14:paraId="4D488E2D" w14:textId="311E0AF4" w:rsidR="00CA0958" w:rsidRPr="00CA0958" w:rsidRDefault="00CA0958" w:rsidP="00CA0958">
      <w:pPr>
        <w:pStyle w:val="Otsikko1"/>
      </w:pPr>
      <w:bookmarkStart w:id="6" w:name="_Toc99370899"/>
      <w:r w:rsidRPr="00CA0958">
        <w:t>Ergono</w:t>
      </w:r>
      <w:r w:rsidR="00745676">
        <w:t>mia</w:t>
      </w:r>
      <w:bookmarkEnd w:id="6"/>
    </w:p>
    <w:p w14:paraId="2F9FF54F" w14:textId="1925D42F" w:rsidR="00797314" w:rsidRPr="00797314" w:rsidRDefault="00797314" w:rsidP="0084149E">
      <w:pPr>
        <w:rPr>
          <w:lang w:val="fi-FI"/>
        </w:rPr>
      </w:pPr>
      <w:r>
        <w:rPr>
          <w:lang w:val="fi-FI"/>
        </w:rPr>
        <w:t xml:space="preserve">Ergonomian tavoitteena on kehittää työn tekemistä sellaiseksi, että se on jokaiselle ihmiselle mahdollisimman sopivaa toistomääriltään ja voiman tarpeiltaan, sekä että työasento ja työympäristö tukisi työsuoritusta. Hyvä </w:t>
      </w:r>
      <w:r>
        <w:rPr>
          <w:lang w:val="fi-FI"/>
        </w:rPr>
        <w:lastRenderedPageBreak/>
        <w:t>työtulos syntyy siten, että työntekijän voimavarat sekä työ- ja toimintakyky säilyvät mahdollisimman pitkään koko elinkaaren ajan.</w:t>
      </w:r>
    </w:p>
    <w:p w14:paraId="50B067E4" w14:textId="77777777" w:rsidR="00797314" w:rsidRDefault="00797314" w:rsidP="00797314">
      <w:pPr>
        <w:rPr>
          <w:lang w:val="fi-FI"/>
        </w:rPr>
      </w:pPr>
      <w:r>
        <w:rPr>
          <w:lang w:val="fi-FI"/>
        </w:rPr>
        <w:t>Työskentelyn voimantarvetta voidaan säädellä ergonomian keinoin. Tarvittava joutuisuus, voimankäyttö, tai työtahti voidaan määrittää työntekijän suorituskyvyn mukaiseksi.</w:t>
      </w:r>
    </w:p>
    <w:p w14:paraId="1A8E6FF8" w14:textId="77777777" w:rsidR="00797314" w:rsidRDefault="00797314" w:rsidP="00797314">
      <w:pPr>
        <w:rPr>
          <w:lang w:val="fi-FI"/>
        </w:rPr>
      </w:pPr>
      <w:r>
        <w:rPr>
          <w:lang w:val="fi-FI"/>
        </w:rPr>
        <w:t>Ergonomian lisäämiseksi voidaan työssä käyttää teknisiä apuvälineitä, kuten koneita ja laitteita. Työn tekemisen ympäristö ja työvälineet mitoitetaan niin, että ihmisen oma voimantuotto ja liikeradat ovat optimaaliset. Työskentelyjaksot ja tauotus, ovat ergonomian keinoja järjestellä työtä.</w:t>
      </w:r>
    </w:p>
    <w:p w14:paraId="656A4446" w14:textId="77777777" w:rsidR="00797314" w:rsidRDefault="00797314" w:rsidP="00797314">
      <w:pPr>
        <w:rPr>
          <w:lang w:val="fi-FI"/>
        </w:rPr>
      </w:pPr>
      <w:r>
        <w:rPr>
          <w:lang w:val="fi-FI"/>
        </w:rPr>
        <w:t>Käytettävyydellä haetaan helppokäyttöisyyttä mahdollisimman laajalle käyttäjäkunnalle. Käyttäjäkokemus on keskeinen, kun haetaan työssä käytettävien palvelujen, työvälineiden, koneiden ja laitteiden käytettävyyttä.</w:t>
      </w:r>
    </w:p>
    <w:p w14:paraId="36C7F7C2" w14:textId="000DF5F1" w:rsidR="00797314" w:rsidRPr="00797314" w:rsidRDefault="00797314" w:rsidP="0084149E">
      <w:pPr>
        <w:rPr>
          <w:lang w:val="fi-FI"/>
        </w:rPr>
      </w:pPr>
      <w:r>
        <w:rPr>
          <w:lang w:val="fi-FI"/>
        </w:rPr>
        <w:t>Esteettömyydellä huomioidaan kaikkien käyttäjäryhmien tarve tekniikan, tilojen ja toiminnan suunnittelussa. Esteettömyys lisää käyttäjien tasa-arvoa ja samalla laajentaa tuotteiden ja järjestelmien käyttäjäkuntaa.</w:t>
      </w:r>
    </w:p>
    <w:p w14:paraId="227EAE8F" w14:textId="507A853A" w:rsidR="00CA0958" w:rsidRPr="00CA0958" w:rsidRDefault="00797314" w:rsidP="00CA0958">
      <w:pPr>
        <w:pStyle w:val="Otsikko1"/>
      </w:pPr>
      <w:bookmarkStart w:id="7" w:name="_Toc99370900"/>
      <w:r>
        <w:t>Työhyvinvointi</w:t>
      </w:r>
      <w:bookmarkEnd w:id="7"/>
    </w:p>
    <w:p w14:paraId="6569EA26" w14:textId="77777777" w:rsidR="00797314" w:rsidRDefault="00797314" w:rsidP="00797314">
      <w:r>
        <w:rPr>
          <w:lang w:val="fi-FI"/>
        </w:rPr>
        <w:t>Työhyvinvointi kohdistuu henkilöstöön, työympäristöön, työyhteisöön, työprosesseihin tai johtamiseen ja sen toteutuminen ja kehittäminen ovat sekä työnantajan että työntekijän vastuulla. Työhyvinvoinnin edistäminen työpaikalla tapahtuu työterveyshuollon, työsuojeluhenkilöstön ja luottamusmiesten, sekä johtajien, esimiesten ja työntekijöiden yhteistyönä.</w:t>
      </w:r>
    </w:p>
    <w:p w14:paraId="2EB846F1" w14:textId="6E865979" w:rsidR="00092E1B" w:rsidRDefault="00092E1B" w:rsidP="004E5369"/>
    <w:p w14:paraId="3C03C467" w14:textId="75117148" w:rsidR="00092E1B" w:rsidRPr="003E7587" w:rsidRDefault="00092E1B" w:rsidP="00092E1B">
      <w:pPr>
        <w:spacing w:after="0" w:line="240" w:lineRule="auto"/>
        <w:jc w:val="left"/>
      </w:pPr>
      <w:r>
        <w:br w:type="page"/>
      </w:r>
    </w:p>
    <w:p w14:paraId="732ADDAF" w14:textId="35E2F94B" w:rsidR="00CA0958" w:rsidRPr="00CA0958" w:rsidRDefault="00797314" w:rsidP="00CA0958">
      <w:pPr>
        <w:pStyle w:val="Otsikko1"/>
      </w:pPr>
      <w:bookmarkStart w:id="8" w:name="_Toc99370901"/>
      <w:r>
        <w:lastRenderedPageBreak/>
        <w:t>Riskien tunnistaminen</w:t>
      </w:r>
      <w:bookmarkEnd w:id="8"/>
    </w:p>
    <w:p w14:paraId="6CA67767" w14:textId="1407E468" w:rsidR="006C3DDE" w:rsidRPr="00092E1B" w:rsidRDefault="00A22AD1" w:rsidP="006C3DDE">
      <w:r>
        <w:t>Riskeissä pyritään tunnistamaan, arvioimaan ja suunnittelemaan toimenpiteet</w:t>
      </w:r>
      <w:r w:rsidR="00092E1B">
        <w:t>:</w:t>
      </w:r>
    </w:p>
    <w:p w14:paraId="43668147" w14:textId="616D08D7" w:rsidR="001257F7" w:rsidRPr="001257F7" w:rsidRDefault="00A22AD1" w:rsidP="0072752A">
      <w:pPr>
        <w:pStyle w:val="Luettelokappale"/>
        <w:numPr>
          <w:ilvl w:val="0"/>
          <w:numId w:val="5"/>
        </w:numPr>
        <w:spacing w:line="276" w:lineRule="auto"/>
        <w:rPr>
          <w:szCs w:val="24"/>
        </w:rPr>
      </w:pPr>
      <w:r>
        <w:rPr>
          <w:szCs w:val="24"/>
        </w:rPr>
        <w:t>Työn tekemiseen liittyvät riskit</w:t>
      </w:r>
    </w:p>
    <w:p w14:paraId="59EC981D" w14:textId="047F55A8" w:rsidR="001257F7" w:rsidRDefault="00A22AD1" w:rsidP="0072752A">
      <w:pPr>
        <w:pStyle w:val="Luettelokappale"/>
        <w:numPr>
          <w:ilvl w:val="1"/>
          <w:numId w:val="5"/>
        </w:numPr>
        <w:spacing w:line="276" w:lineRule="auto"/>
        <w:rPr>
          <w:szCs w:val="24"/>
        </w:rPr>
      </w:pPr>
      <w:r>
        <w:rPr>
          <w:szCs w:val="24"/>
        </w:rPr>
        <w:t>Materiaalien hankinta ja siirrot</w:t>
      </w:r>
    </w:p>
    <w:p w14:paraId="2405D331" w14:textId="23CCB551" w:rsidR="00A22AD1" w:rsidRDefault="00A22AD1" w:rsidP="0072752A">
      <w:pPr>
        <w:pStyle w:val="Luettelokappale"/>
        <w:numPr>
          <w:ilvl w:val="1"/>
          <w:numId w:val="5"/>
        </w:numPr>
        <w:spacing w:line="276" w:lineRule="auto"/>
        <w:rPr>
          <w:szCs w:val="24"/>
        </w:rPr>
      </w:pPr>
      <w:r>
        <w:rPr>
          <w:szCs w:val="24"/>
        </w:rPr>
        <w:t>Teline- ja tukityöt</w:t>
      </w:r>
    </w:p>
    <w:p w14:paraId="2E12D6F1" w14:textId="30478A16" w:rsidR="00A22AD1" w:rsidRDefault="00A22AD1" w:rsidP="0072752A">
      <w:pPr>
        <w:pStyle w:val="Luettelokappale"/>
        <w:numPr>
          <w:ilvl w:val="1"/>
          <w:numId w:val="5"/>
        </w:numPr>
        <w:spacing w:line="276" w:lineRule="auto"/>
        <w:rPr>
          <w:szCs w:val="24"/>
        </w:rPr>
      </w:pPr>
      <w:r>
        <w:rPr>
          <w:szCs w:val="24"/>
        </w:rPr>
        <w:t>Purku- ja kaivantotyöt</w:t>
      </w:r>
    </w:p>
    <w:p w14:paraId="43893673" w14:textId="69DB6690" w:rsidR="00A22AD1" w:rsidRDefault="00A22AD1" w:rsidP="0072752A">
      <w:pPr>
        <w:pStyle w:val="Luettelokappale"/>
        <w:numPr>
          <w:ilvl w:val="1"/>
          <w:numId w:val="5"/>
        </w:numPr>
        <w:spacing w:line="276" w:lineRule="auto"/>
        <w:rPr>
          <w:szCs w:val="24"/>
        </w:rPr>
      </w:pPr>
      <w:r>
        <w:rPr>
          <w:szCs w:val="24"/>
        </w:rPr>
        <w:t>Sähkötyöt</w:t>
      </w:r>
    </w:p>
    <w:p w14:paraId="20FA8226" w14:textId="4BA627E7" w:rsidR="00A22AD1" w:rsidRDefault="00A22AD1" w:rsidP="0072752A">
      <w:pPr>
        <w:pStyle w:val="Luettelokappale"/>
        <w:numPr>
          <w:ilvl w:val="1"/>
          <w:numId w:val="5"/>
        </w:numPr>
        <w:spacing w:line="276" w:lineRule="auto"/>
        <w:rPr>
          <w:szCs w:val="24"/>
        </w:rPr>
      </w:pPr>
      <w:r>
        <w:rPr>
          <w:szCs w:val="24"/>
        </w:rPr>
        <w:t>Tulityöt</w:t>
      </w:r>
    </w:p>
    <w:p w14:paraId="4055B2A4" w14:textId="2137FE3A" w:rsidR="00A22AD1" w:rsidRDefault="00A22AD1" w:rsidP="0072752A">
      <w:pPr>
        <w:pStyle w:val="Luettelokappale"/>
        <w:numPr>
          <w:ilvl w:val="1"/>
          <w:numId w:val="5"/>
        </w:numPr>
        <w:spacing w:line="276" w:lineRule="auto"/>
        <w:rPr>
          <w:szCs w:val="24"/>
        </w:rPr>
      </w:pPr>
      <w:r>
        <w:rPr>
          <w:szCs w:val="24"/>
        </w:rPr>
        <w:t>Työt tie- ja rata-alueilla</w:t>
      </w:r>
    </w:p>
    <w:p w14:paraId="7C20AAEB" w14:textId="237A3E9B" w:rsidR="00A22AD1" w:rsidRDefault="00A22AD1" w:rsidP="0072752A">
      <w:pPr>
        <w:pStyle w:val="Luettelokappale"/>
        <w:numPr>
          <w:ilvl w:val="1"/>
          <w:numId w:val="5"/>
        </w:numPr>
        <w:spacing w:line="276" w:lineRule="auto"/>
        <w:rPr>
          <w:szCs w:val="24"/>
        </w:rPr>
      </w:pPr>
      <w:r>
        <w:rPr>
          <w:szCs w:val="24"/>
        </w:rPr>
        <w:t>Asbestityöt</w:t>
      </w:r>
    </w:p>
    <w:p w14:paraId="23C08ADD" w14:textId="1C657184" w:rsidR="00A22AD1" w:rsidRPr="001257F7" w:rsidRDefault="00A22AD1" w:rsidP="0072752A">
      <w:pPr>
        <w:pStyle w:val="Luettelokappale"/>
        <w:numPr>
          <w:ilvl w:val="1"/>
          <w:numId w:val="5"/>
        </w:numPr>
        <w:spacing w:line="276" w:lineRule="auto"/>
        <w:rPr>
          <w:szCs w:val="24"/>
        </w:rPr>
      </w:pPr>
      <w:r>
        <w:rPr>
          <w:szCs w:val="24"/>
        </w:rPr>
        <w:t>Työt teollisen prosessilinjaston läheisyydessä</w:t>
      </w:r>
    </w:p>
    <w:p w14:paraId="649468E0" w14:textId="2AA98762" w:rsidR="001257F7" w:rsidRPr="001257F7" w:rsidRDefault="00930E41" w:rsidP="0072752A">
      <w:pPr>
        <w:pStyle w:val="Luettelokappale"/>
        <w:numPr>
          <w:ilvl w:val="0"/>
          <w:numId w:val="5"/>
        </w:numPr>
        <w:spacing w:line="276" w:lineRule="auto"/>
        <w:rPr>
          <w:szCs w:val="24"/>
        </w:rPr>
      </w:pPr>
      <w:r>
        <w:rPr>
          <w:szCs w:val="24"/>
        </w:rPr>
        <w:t>Työolosuhteista aiheutuvat riskit</w:t>
      </w:r>
    </w:p>
    <w:p w14:paraId="0104AC71" w14:textId="600B9494" w:rsidR="001257F7" w:rsidRPr="001257F7" w:rsidRDefault="00930E41" w:rsidP="0072752A">
      <w:pPr>
        <w:pStyle w:val="Luettelokappale"/>
        <w:numPr>
          <w:ilvl w:val="1"/>
          <w:numId w:val="5"/>
        </w:numPr>
        <w:spacing w:line="276" w:lineRule="auto"/>
        <w:rPr>
          <w:szCs w:val="24"/>
        </w:rPr>
      </w:pPr>
      <w:r>
        <w:rPr>
          <w:szCs w:val="24"/>
        </w:rPr>
        <w:t>Pöly, homeitiöt, bakteerit, VOC-yhdisteet ja kaasut</w:t>
      </w:r>
    </w:p>
    <w:p w14:paraId="6BBAF3B1" w14:textId="0D387D49" w:rsidR="001257F7" w:rsidRPr="001257F7" w:rsidRDefault="00930E41" w:rsidP="0072752A">
      <w:pPr>
        <w:pStyle w:val="Luettelokappale"/>
        <w:numPr>
          <w:ilvl w:val="1"/>
          <w:numId w:val="5"/>
        </w:numPr>
        <w:spacing w:line="276" w:lineRule="auto"/>
        <w:rPr>
          <w:szCs w:val="24"/>
        </w:rPr>
      </w:pPr>
      <w:r>
        <w:rPr>
          <w:szCs w:val="24"/>
        </w:rPr>
        <w:t>Melu, tärinä, kylmyys ja vetoisuus sekä kaatumiset, putoamiset ja liukastumiset</w:t>
      </w:r>
    </w:p>
    <w:p w14:paraId="7E23C140" w14:textId="1FE2B13F" w:rsidR="001257F7" w:rsidRPr="001257F7" w:rsidRDefault="00930E41" w:rsidP="0072752A">
      <w:pPr>
        <w:pStyle w:val="Luettelokappale"/>
        <w:numPr>
          <w:ilvl w:val="0"/>
          <w:numId w:val="5"/>
        </w:numPr>
        <w:spacing w:line="276" w:lineRule="auto"/>
        <w:rPr>
          <w:szCs w:val="24"/>
        </w:rPr>
      </w:pPr>
      <w:r>
        <w:rPr>
          <w:szCs w:val="24"/>
        </w:rPr>
        <w:t>Työympäristöön liittyvät riskit</w:t>
      </w:r>
    </w:p>
    <w:p w14:paraId="2766F21E" w14:textId="7C183E60" w:rsidR="001257F7" w:rsidRDefault="00930E41" w:rsidP="0072752A">
      <w:pPr>
        <w:pStyle w:val="Luettelokappale"/>
        <w:numPr>
          <w:ilvl w:val="1"/>
          <w:numId w:val="5"/>
        </w:numPr>
        <w:spacing w:line="276" w:lineRule="auto"/>
        <w:rPr>
          <w:szCs w:val="24"/>
        </w:rPr>
      </w:pPr>
      <w:r>
        <w:rPr>
          <w:szCs w:val="24"/>
        </w:rPr>
        <w:t>Työmaan sisäinen ja ulkoinen liikenne</w:t>
      </w:r>
    </w:p>
    <w:p w14:paraId="491DD97E" w14:textId="0069B0E4" w:rsidR="00930E41" w:rsidRDefault="00930E41" w:rsidP="0072752A">
      <w:pPr>
        <w:pStyle w:val="Luettelokappale"/>
        <w:numPr>
          <w:ilvl w:val="1"/>
          <w:numId w:val="5"/>
        </w:numPr>
        <w:spacing w:line="276" w:lineRule="auto"/>
        <w:rPr>
          <w:szCs w:val="24"/>
        </w:rPr>
      </w:pPr>
      <w:r>
        <w:rPr>
          <w:szCs w:val="24"/>
        </w:rPr>
        <w:t>Työkoneiden ja työvälineiden käyttäminen</w:t>
      </w:r>
    </w:p>
    <w:p w14:paraId="71B3BD84" w14:textId="1E054AC3" w:rsidR="00930E41" w:rsidRPr="001257F7" w:rsidRDefault="00930E41" w:rsidP="0072752A">
      <w:pPr>
        <w:pStyle w:val="Luettelokappale"/>
        <w:numPr>
          <w:ilvl w:val="1"/>
          <w:numId w:val="5"/>
        </w:numPr>
        <w:spacing w:line="276" w:lineRule="auto"/>
        <w:rPr>
          <w:szCs w:val="24"/>
        </w:rPr>
      </w:pPr>
      <w:r>
        <w:rPr>
          <w:szCs w:val="24"/>
        </w:rPr>
        <w:t>Jätteiden sekä vaarallisten aineiden varastointi ja käsittely</w:t>
      </w:r>
    </w:p>
    <w:p w14:paraId="3363296A" w14:textId="6F03DF9A" w:rsidR="001257F7" w:rsidRPr="001257F7" w:rsidRDefault="00930E41" w:rsidP="0072752A">
      <w:pPr>
        <w:pStyle w:val="Luettelokappale"/>
        <w:numPr>
          <w:ilvl w:val="0"/>
          <w:numId w:val="5"/>
        </w:numPr>
        <w:spacing w:line="276" w:lineRule="auto"/>
        <w:rPr>
          <w:szCs w:val="24"/>
        </w:rPr>
      </w:pPr>
      <w:r>
        <w:rPr>
          <w:szCs w:val="24"/>
        </w:rPr>
        <w:t>Työnsuunnittelusta ja johtamisesta aiheutuvat riskit</w:t>
      </w:r>
    </w:p>
    <w:p w14:paraId="787A463D" w14:textId="342E546E" w:rsidR="006C3DDE" w:rsidRDefault="00930E41" w:rsidP="0072752A">
      <w:pPr>
        <w:pStyle w:val="Luettelokappale"/>
        <w:numPr>
          <w:ilvl w:val="1"/>
          <w:numId w:val="5"/>
        </w:numPr>
        <w:spacing w:line="276" w:lineRule="auto"/>
        <w:rPr>
          <w:szCs w:val="24"/>
        </w:rPr>
      </w:pPr>
      <w:r>
        <w:rPr>
          <w:szCs w:val="24"/>
        </w:rPr>
        <w:t>Työmaa-aikataulu ja työvaiheiden ajoitus</w:t>
      </w:r>
    </w:p>
    <w:p w14:paraId="7069C6EB" w14:textId="5F9A0EBF" w:rsidR="00930E41" w:rsidRDefault="00930E41" w:rsidP="0072752A">
      <w:pPr>
        <w:pStyle w:val="Luettelokappale"/>
        <w:numPr>
          <w:ilvl w:val="1"/>
          <w:numId w:val="5"/>
        </w:numPr>
        <w:spacing w:line="276" w:lineRule="auto"/>
        <w:rPr>
          <w:szCs w:val="24"/>
        </w:rPr>
      </w:pPr>
      <w:r>
        <w:rPr>
          <w:szCs w:val="24"/>
        </w:rPr>
        <w:t>Sopimusriskit, rahoitusriskit ja hintojen nousut</w:t>
      </w:r>
    </w:p>
    <w:p w14:paraId="3434AE52" w14:textId="30B2AFEB" w:rsidR="00930E41" w:rsidRDefault="00930E41" w:rsidP="0072752A">
      <w:pPr>
        <w:pStyle w:val="Luettelokappale"/>
        <w:numPr>
          <w:ilvl w:val="1"/>
          <w:numId w:val="5"/>
        </w:numPr>
        <w:spacing w:line="276" w:lineRule="auto"/>
        <w:rPr>
          <w:szCs w:val="24"/>
        </w:rPr>
      </w:pPr>
      <w:r>
        <w:rPr>
          <w:szCs w:val="24"/>
        </w:rPr>
        <w:t>Samanaikaisesti tehtävät työt</w:t>
      </w:r>
    </w:p>
    <w:p w14:paraId="521384E4" w14:textId="47AC5D8C" w:rsidR="00930E41" w:rsidRPr="001257F7" w:rsidRDefault="00930E41" w:rsidP="0072752A">
      <w:pPr>
        <w:pStyle w:val="Luettelokappale"/>
        <w:numPr>
          <w:ilvl w:val="1"/>
          <w:numId w:val="5"/>
        </w:numPr>
        <w:spacing w:line="276" w:lineRule="auto"/>
        <w:rPr>
          <w:szCs w:val="24"/>
        </w:rPr>
      </w:pPr>
      <w:r>
        <w:rPr>
          <w:szCs w:val="24"/>
        </w:rPr>
        <w:t>Epäjohdonmukainen johtaminen ja laadunalenemat</w:t>
      </w:r>
    </w:p>
    <w:p w14:paraId="6D4B9066" w14:textId="137BECEB" w:rsidR="006C3DDE" w:rsidRPr="001257F7" w:rsidRDefault="006C3DDE" w:rsidP="006C3DDE">
      <w:pPr>
        <w:spacing w:after="0" w:line="240" w:lineRule="auto"/>
        <w:jc w:val="left"/>
        <w:rPr>
          <w:szCs w:val="24"/>
        </w:rPr>
      </w:pPr>
      <w:r w:rsidRPr="001257F7">
        <w:rPr>
          <w:szCs w:val="24"/>
        </w:rPr>
        <w:br w:type="page"/>
      </w:r>
    </w:p>
    <w:p w14:paraId="6458EABB" w14:textId="4675977F" w:rsidR="00CA0958" w:rsidRPr="00CA0958" w:rsidRDefault="00561634" w:rsidP="00265A20">
      <w:pPr>
        <w:pStyle w:val="Otsikko1"/>
      </w:pPr>
      <w:bookmarkStart w:id="9" w:name="_Toc99370902"/>
      <w:r>
        <w:lastRenderedPageBreak/>
        <w:t>Turvallisuuden työvälineet</w:t>
      </w:r>
      <w:bookmarkEnd w:id="9"/>
    </w:p>
    <w:p w14:paraId="4231FAB9" w14:textId="75B48B3C" w:rsidR="00CA0958" w:rsidRPr="00CA0958" w:rsidRDefault="00561634" w:rsidP="0072752A">
      <w:pPr>
        <w:pStyle w:val="Otsikko2"/>
        <w:numPr>
          <w:ilvl w:val="1"/>
          <w:numId w:val="2"/>
        </w:numPr>
      </w:pPr>
      <w:bookmarkStart w:id="10" w:name="_Toc99370903"/>
      <w:r>
        <w:t>Yhteinen työmaa</w:t>
      </w:r>
      <w:bookmarkEnd w:id="10"/>
    </w:p>
    <w:p w14:paraId="1FD65E0F" w14:textId="3AD10BB8" w:rsidR="00561634" w:rsidRPr="00561634" w:rsidRDefault="00561634" w:rsidP="006C3DDE">
      <w:pPr>
        <w:rPr>
          <w:lang w:val="fi-FI"/>
        </w:rPr>
      </w:pPr>
      <w:r>
        <w:rPr>
          <w:lang w:val="fi-FI"/>
        </w:rPr>
        <w:t>Yhteisellä työmaalla päätoteuttaja huolehtii työmaan yleisestä turvallisuusjohtamisesta ja päätoteuttajalla onkin ali- ja sivu-urakoitsijoiden suhteen suuret valtuudet työmaan yhteisen ja yleisen turvallisuuden varmistamisessa. Päätoteuttaja ohjaa urakoitsijoiden toimintaa työmaakokousten, palaverien, sopimusten, turvallisuusohjeiden ja töiden valvonnan avulla, sekä normaaleilla yhteisentyömaan johtamisen keinoilla, kuten töiden ja työvaiheiden ajoituksella ja yhteensovittamisella, yhteistoiminnan ja tiedonkulun järjestämisellä sekä tiedottamalla työpaikan vaaratekijöistä.</w:t>
      </w:r>
    </w:p>
    <w:p w14:paraId="64FFBCEC" w14:textId="13F99CD7" w:rsidR="00CA0958" w:rsidRPr="00CA0958" w:rsidRDefault="00561634" w:rsidP="0072752A">
      <w:pPr>
        <w:pStyle w:val="Otsikko2"/>
        <w:numPr>
          <w:ilvl w:val="1"/>
          <w:numId w:val="2"/>
        </w:numPr>
      </w:pPr>
      <w:bookmarkStart w:id="11" w:name="_Toc99370904"/>
      <w:r>
        <w:t>Nolla</w:t>
      </w:r>
      <w:r w:rsidR="00EF0768">
        <w:t xml:space="preserve"> </w:t>
      </w:r>
      <w:r>
        <w:t xml:space="preserve">tapaturmaa </w:t>
      </w:r>
      <w:r w:rsidR="00EF0768">
        <w:t>-</w:t>
      </w:r>
      <w:r>
        <w:t>ajattelu</w:t>
      </w:r>
      <w:bookmarkEnd w:id="11"/>
    </w:p>
    <w:p w14:paraId="7F55F99F" w14:textId="6DFDFE09" w:rsidR="00EF0768" w:rsidRPr="00EF0768" w:rsidRDefault="00EF0768" w:rsidP="006C3DDE">
      <w:pPr>
        <w:rPr>
          <w:lang w:val="fi-FI"/>
        </w:rPr>
      </w:pPr>
      <w:r>
        <w:rPr>
          <w:lang w:val="fi-FI"/>
        </w:rPr>
        <w:t>On selvää, että minkään kokoisen yrityksen tai sen työntekijän tavoitteena ei voi olla muuta kuin 0-tapaturmaa ajattelu. Harmittavan usein työntekijä edelleen ajattelee, että on yrittäjän tai yrityksen etu, jos hän ottaa työskennellessään riskejä, joissa on olemassa tapaturman vaara. Useimmiten otettu riski liittyy työn pieneen nopeuttamiseen tai suojavarusteen käyttämättömyyteen.  Nolla tapaturmaa tavoitteen saavuttaminen edellyttääkin, että kaikki yhteisellä työmaalla toimivat ja työskentelevät sitoutuvat siihen. Tavoite on kova, mutta se on mahdollista saavuttaa.</w:t>
      </w:r>
    </w:p>
    <w:p w14:paraId="71B1CB65" w14:textId="04D0F488" w:rsidR="00EF0768" w:rsidRPr="00B73E14" w:rsidRDefault="00EF0768" w:rsidP="006C3DDE">
      <w:r>
        <w:rPr>
          <w:lang w:val="fi-FI"/>
        </w:rPr>
        <w:t xml:space="preserve">Työturvallisuuteen panostetaan viestinnällä, työturvallisuuskilpailuilla ja yleisellä työturvallisuuden priorisoinnilla. Tapaturmaton toiminta edellyttää lisäksi yhteistyötä rakennuttamisesta ja suunnittelusta alkaen ja nolla tapaturmaa -ajattelun on ulotuttava yritysten johdosta jokaisen ali- ja sivu-urakoitsijan kaikkiin työntekijöihin. Rakennusalan työturvallisuuskehityksessä kolmen tekijän merkitys on ollut suuri. Ensimmäinen tekijä on asenne tai työturvallisuuskulttuurin muutos, jolloin työntekijät ottavat työturvallisuuden vakavasti. Toinen tekijä on henkilönsuojaimien ja muiden suojavälineiden käytön </w:t>
      </w:r>
      <w:r>
        <w:rPr>
          <w:lang w:val="fi-FI"/>
        </w:rPr>
        <w:lastRenderedPageBreak/>
        <w:t>lisääntyminen ja suojavälineiden ergonomian ja laadun parantuminen. Kolmas tekijä on rakennusyritysten selkeä panostus työturvallisuuden toteutumiseen, sillä nykyään on itsestään selvää, että työturvallisuudella on vaikutuksensa niin yrityksen talouteen kuin maineeseen työntekijöiden silmissä.</w:t>
      </w:r>
    </w:p>
    <w:p w14:paraId="708828ED" w14:textId="5705FC39" w:rsidR="002A19E5" w:rsidRPr="001229A3" w:rsidRDefault="00621EDC" w:rsidP="00621EDC">
      <w:pPr>
        <w:pStyle w:val="Otsikko2"/>
        <w:numPr>
          <w:ilvl w:val="0"/>
          <w:numId w:val="0"/>
        </w:numPr>
        <w:ind w:left="360"/>
        <w:rPr>
          <w:lang w:val="en-US"/>
        </w:rPr>
      </w:pPr>
      <w:bookmarkStart w:id="12" w:name="_Toc99370905"/>
      <w:r w:rsidRPr="001229A3">
        <w:rPr>
          <w:lang w:val="en-US"/>
        </w:rPr>
        <w:t xml:space="preserve">7.3 </w:t>
      </w:r>
      <w:r w:rsidR="00EF0768">
        <w:rPr>
          <w:lang w:val="en-US"/>
        </w:rPr>
        <w:t>Turvallisuushavainto</w:t>
      </w:r>
      <w:bookmarkEnd w:id="12"/>
    </w:p>
    <w:p w14:paraId="6488F97B" w14:textId="28272C62" w:rsidR="00EF0768" w:rsidRPr="00EF0768" w:rsidRDefault="00EF0768" w:rsidP="001229A3">
      <w:pPr>
        <w:rPr>
          <w:lang w:val="fi-FI"/>
        </w:rPr>
      </w:pPr>
      <w:r>
        <w:rPr>
          <w:lang w:val="fi-FI"/>
        </w:rPr>
        <w:t xml:space="preserve">Yhteisellä työmaalla panostetaan rakentamisen laadun ja turvallisen tekemisen toteutumiseen. Hyvä tapa selvittää turhat riskin ottamiset, puutua huonoihin rutiineihin ja ennalta ehkäistä mahdollisimman monta tapaturmaa on pyytää yhteisentyömaan työntekijöitä tekemään työympäristöstään havaintoja, jotka dokumentoidaan joko sähköiseen tai paperiseen pohjaan.  Rakentamisen laatuun liittyviä havaintoja on esimerkiksi materiaalivahinkohavainto, jossa tuodaan esille rakenteeseen tai rakennusmateriaaliin liittyviä suojauksen puutteita tai epäkohtia. </w:t>
      </w:r>
    </w:p>
    <w:p w14:paraId="538F8879" w14:textId="77777777" w:rsidR="00EF0768" w:rsidRDefault="00EF0768" w:rsidP="00EF0768">
      <w:pPr>
        <w:rPr>
          <w:lang w:val="fi-FI"/>
        </w:rPr>
      </w:pPr>
      <w:r>
        <w:rPr>
          <w:lang w:val="fi-FI"/>
        </w:rPr>
        <w:t xml:space="preserve">Vaaratilanneilmoitus kohdistuu mahdolliseen tapaturman vaaraan, kuten epäsiisteys ja -järjestys, vaaralliset työtavat, tai liukastumiseen ja kaatumiseen liittyvät tekijät. Vaaratilannehavainnolla siis ennalta estetään tapaturman toteutuminen. </w:t>
      </w:r>
    </w:p>
    <w:p w14:paraId="4D0BDBC1" w14:textId="5A2F398D" w:rsidR="00EF0768" w:rsidRPr="00EF0768" w:rsidRDefault="00EF0768" w:rsidP="001229A3">
      <w:pPr>
        <w:rPr>
          <w:lang w:val="fi-FI"/>
        </w:rPr>
      </w:pPr>
      <w:r>
        <w:rPr>
          <w:lang w:val="fi-FI"/>
        </w:rPr>
        <w:t>Kumpikin turvallisuushavainto on keskeinen osa laadukasta rakentamista ja luo perustan onnistumiselle.</w:t>
      </w:r>
    </w:p>
    <w:p w14:paraId="2DF30590" w14:textId="17EED8C8" w:rsidR="002A19E5" w:rsidRPr="002A19E5" w:rsidRDefault="00EF0768" w:rsidP="0072752A">
      <w:pPr>
        <w:pStyle w:val="Otsikko2"/>
        <w:numPr>
          <w:ilvl w:val="1"/>
          <w:numId w:val="4"/>
        </w:numPr>
      </w:pPr>
      <w:bookmarkStart w:id="13" w:name="_Toc99370906"/>
      <w:r>
        <w:t>Perehdytys</w:t>
      </w:r>
      <w:bookmarkEnd w:id="13"/>
    </w:p>
    <w:p w14:paraId="3B4C1EE2" w14:textId="77777777" w:rsidR="00EF0768" w:rsidRDefault="00EF0768" w:rsidP="00EF0768">
      <w:pPr>
        <w:rPr>
          <w:lang w:val="fi-FI"/>
        </w:rPr>
      </w:pPr>
      <w:r>
        <w:rPr>
          <w:lang w:val="fi-FI"/>
        </w:rPr>
        <w:t xml:space="preserve">Perehdyttäminen on työturvallisuuslain vaatima, allekirjoituksella dokumentoitu toimenpide, kun työntekijä saapuu uuteen työkohteeseen. Lyhyissä, alle viikon mittaisissa työsuhteissa perehdyttämiseen on tarkoituksenmukaista sisällyttää vain välttämättömät työsuhdeasiat, kuten työaika, poissaolot, tauot ja tilat, sekä tiivistetty työnopastus, kuten, koneet, mahdolliset häiriöt ja turvallisuus. </w:t>
      </w:r>
    </w:p>
    <w:p w14:paraId="18C92AA1" w14:textId="77777777" w:rsidR="00EF0768" w:rsidRPr="00081590" w:rsidRDefault="00EF0768" w:rsidP="00101721"/>
    <w:p w14:paraId="27C6AB1E" w14:textId="3E27C31F" w:rsidR="00EF0768" w:rsidRPr="00EF0768" w:rsidRDefault="00EF0768" w:rsidP="00081590">
      <w:pPr>
        <w:rPr>
          <w:lang w:val="fi-FI"/>
        </w:rPr>
      </w:pPr>
      <w:r>
        <w:rPr>
          <w:lang w:val="fi-FI"/>
        </w:rPr>
        <w:lastRenderedPageBreak/>
        <w:t>Perehdyttämisen onnistumiseksi ja perehdytettävän muistin tueksi työntekijälle annetaan kirjallinen dokumentti, ”perehdyttämiskartta”, johon esiteltävät asiat on koottu ja joka allekirjoittaa sekä perehdytettävä, että perehdyttäjä. Dokumentissa on hyvä tuoda esille myös perustietoa yrityksestä, sen toiminnasta ja esimerkiksi arvoista.  Lyhyessä työsuhteessa määrätään työpari olemassa olevasta henkilöstöstä opastamaan ja antamaan neuvoja tarvittaessa. Asiasta etukäteen sopiminen helpottaa molemminpuolista yhteistyötä.</w:t>
      </w:r>
    </w:p>
    <w:p w14:paraId="790151EE" w14:textId="77777777" w:rsidR="00EF0768" w:rsidRDefault="00EF0768" w:rsidP="00EF0768">
      <w:pPr>
        <w:rPr>
          <w:lang w:val="fi-FI"/>
        </w:rPr>
      </w:pPr>
      <w:r>
        <w:rPr>
          <w:lang w:val="fi-FI"/>
        </w:rPr>
        <w:t>Alle kuukauden työsuhteessa perehdytyksen sisältöön on hyvä lisätä yritystietoutta ja erillisessä työnopastuksessa käsitellä tehtävää jo laajemmin osana tuotantokokonaisuutta.  Työsuhteen alkupäiviksi varataan työpari yrityksen henkilöstön keskuudesta.</w:t>
      </w:r>
    </w:p>
    <w:p w14:paraId="2E60D606" w14:textId="5C6A6BC6" w:rsidR="00EF0768" w:rsidRPr="00EF0768" w:rsidRDefault="00EF0768" w:rsidP="00081590">
      <w:pPr>
        <w:rPr>
          <w:lang w:val="fi-FI"/>
        </w:rPr>
      </w:pPr>
      <w:r>
        <w:rPr>
          <w:lang w:val="fi-FI"/>
        </w:rPr>
        <w:t>Pitkäaikaisessa ja vakinaisessa työsuhteessa henkilön perehdyttämisessä on käsiteltävä laajemmin työtehtävän linkittymistä tuotanto- tai palvelukokonaisuuteen, joten myös yritys- ja asiakastietoa käydään läpi perusteellisemmin.  Myös pitkäaikaisen työsuhteen päättyminen aiheuttaa hallinnollisten toimien lisäksi perehdytystoimia. Esimerkiksi tiedottaminen muille työntekijöille, tai tehtävien uudelleenorganisointi sekä palautteen kerääminen.</w:t>
      </w:r>
    </w:p>
    <w:p w14:paraId="056828C9" w14:textId="77777777" w:rsidR="00EF0768" w:rsidRDefault="00EF0768" w:rsidP="00EF0768">
      <w:pPr>
        <w:rPr>
          <w:lang w:val="fi-FI"/>
        </w:rPr>
      </w:pPr>
      <w:r>
        <w:rPr>
          <w:lang w:val="fi-FI"/>
        </w:rPr>
        <w:t xml:space="preserve">Työssäoppijoiden ja oppisopimusopiskelijoiden perehdytyksessä on muistettava, että useimmat yrityksessä itsestään selviltä tuntuvat asiat eivät välttämättä ole selviä kaikille. Perehdytyksen täytyy siis olla johdonmukaista, yksityiskohtaista, syvällistä ja dokumentoitua.  Erityisesti työturvallisuuteen ja työsuojeluohjeisiin tulee käyttää aikaa ja varmistaa ainakin perusasioiden ymmärtäminen. Työntekijöille tiedotetaan mistä opiskelija tulee, kuinka kauan hän viipyy ja mihin hänen odotetaan työpaikalla osallistuvan ja kuka on vastuuhenkilö. </w:t>
      </w:r>
    </w:p>
    <w:p w14:paraId="3FBF418A" w14:textId="77777777" w:rsidR="00EF0768" w:rsidRPr="00F4168E" w:rsidRDefault="00EF0768" w:rsidP="00081590"/>
    <w:p w14:paraId="77053823" w14:textId="34368A2C" w:rsidR="00A77D20" w:rsidRDefault="00EF0768" w:rsidP="0072752A">
      <w:pPr>
        <w:pStyle w:val="Otsikko2"/>
        <w:numPr>
          <w:ilvl w:val="1"/>
          <w:numId w:val="4"/>
        </w:numPr>
      </w:pPr>
      <w:bookmarkStart w:id="14" w:name="_Toc99370907"/>
      <w:r>
        <w:lastRenderedPageBreak/>
        <w:t>Työhönopastus</w:t>
      </w:r>
      <w:bookmarkEnd w:id="14"/>
    </w:p>
    <w:p w14:paraId="0D914D80" w14:textId="0E83FEB2" w:rsidR="00EF0768" w:rsidRPr="00EF0768" w:rsidRDefault="00EF0768" w:rsidP="00974686">
      <w:pPr>
        <w:rPr>
          <w:lang w:val="fi-FI"/>
        </w:rPr>
      </w:pPr>
      <w:r>
        <w:rPr>
          <w:lang w:val="fi-FI"/>
        </w:rPr>
        <w:t>Työhönopastaminen ei enää ole perehdytystä, vaan keskittyy jo enemmän itse työn suorittamiseen tai palvelun tekemiseen. Työhönopastuksessa esitellään tuotanto- tai palveluprosessi kokonaisuutena, sekä opastettavan osuus ja merkitys prosessissa. Tarvittavien koneiden, laitteiden, materiaalien, tietojärjestelmien, jne. turvallinen käyttäminen, käynnissäpidon perusasiat, raportoinnit, työvuorovaihtumiset, sekä toiminta poikkeustilanteessa kuuluvat opastamisen perussisältöön.</w:t>
      </w:r>
    </w:p>
    <w:p w14:paraId="2DE1E10F" w14:textId="668F5CE4" w:rsidR="00EF0768" w:rsidRPr="00EF0768" w:rsidRDefault="00EF0768" w:rsidP="00974686">
      <w:pPr>
        <w:rPr>
          <w:lang w:val="fi-FI"/>
        </w:rPr>
      </w:pPr>
      <w:r>
        <w:rPr>
          <w:lang w:val="fi-FI"/>
        </w:rPr>
        <w:t>Työnopastusta helpottamaan voi laatia graafisen kuvauksen työtehtävän sijoittumisesta kokonaisuuteen, jolloin kokonaiskuvan muodostaminen helpottuu ja perehdyttäjäkin saa apuvälineen. Kuvauksessa kerrotaan mitä ovat työn tehtävät ja velvollisuudet, sekä tehtäväanalyysi, jossa opastetaan, miten työ suoritetaan. Työnopastuksen pohjana tulisi olla kirjallinen muistilista tai työohje, jonka pohjalta opastus toteutetaan mahdollisuuksien mukaan osallistavana vuoropuheluna.</w:t>
      </w:r>
    </w:p>
    <w:p w14:paraId="6D9D4157" w14:textId="424E0F44" w:rsidR="00EC2589" w:rsidRDefault="00EF0768" w:rsidP="0072752A">
      <w:pPr>
        <w:pStyle w:val="Otsikko2"/>
        <w:numPr>
          <w:ilvl w:val="1"/>
          <w:numId w:val="4"/>
        </w:numPr>
      </w:pPr>
      <w:bookmarkStart w:id="15" w:name="_Toc99370908"/>
      <w:r>
        <w:t>Suojavarustus</w:t>
      </w:r>
      <w:bookmarkEnd w:id="15"/>
    </w:p>
    <w:p w14:paraId="19BB2124" w14:textId="77777777" w:rsidR="00EF0768" w:rsidRDefault="00EF0768" w:rsidP="00EF0768">
      <w:pPr>
        <w:rPr>
          <w:lang w:val="fi-FI"/>
        </w:rPr>
      </w:pPr>
      <w:r>
        <w:rPr>
          <w:lang w:val="fi-FI"/>
        </w:rPr>
        <w:t>Työnantajalla arvioitava työntekijän henkilönsuojaimen tarpeellisuus. Mikäli työnantaja ei voi poistaa työn vaaroja, eikä työtä ei voida suorittaa turvallisesti, on työnantajan se hankittava ja valvoa sen käyttämistä. Työntekijän velvollisuus on käyttää työnantajan hänelle käyttöön luovuttamaa suojainta.</w:t>
      </w:r>
    </w:p>
    <w:p w14:paraId="3AF3321A" w14:textId="77777777" w:rsidR="00EF0768" w:rsidRDefault="00EF0768" w:rsidP="00EF0768">
      <w:pPr>
        <w:rPr>
          <w:lang w:val="fi-FI"/>
        </w:rPr>
      </w:pPr>
      <w:r>
        <w:rPr>
          <w:lang w:val="fi-FI"/>
        </w:rPr>
        <w:t xml:space="preserve">Henkilönsuojain ehkäistään loukkaantumisia, altistumia ja sairastumista sellaisissa töissä, joissa työntekijän terveys joutuu vaaraan, kuten esimerkiksi säteilylle, melulle tai tarttuvalle taudille. </w:t>
      </w:r>
    </w:p>
    <w:p w14:paraId="1ED5E8FD" w14:textId="77777777" w:rsidR="00EF0768" w:rsidRDefault="00EF0768" w:rsidP="00EF0768">
      <w:pPr>
        <w:rPr>
          <w:lang w:val="fi-FI"/>
        </w:rPr>
      </w:pPr>
      <w:r>
        <w:rPr>
          <w:lang w:val="fi-FI"/>
        </w:rPr>
        <w:t>Työssä käytettävän henkilönsuojaimen pitää olla vaatimusten mukainen ja sen pitää olla sopiva sitä käyttävälle työntekijälle ja tarkoituksenmukainen juuri kyseiseen työhön, esimerkiksi vain suojausluokka 3 soveltuu liikenteenohjaajan työhön.</w:t>
      </w:r>
    </w:p>
    <w:p w14:paraId="3FCC09FF" w14:textId="68F0C4D1" w:rsidR="00EF0768" w:rsidRPr="00EF0768" w:rsidRDefault="00EF0768" w:rsidP="00211080">
      <w:pPr>
        <w:rPr>
          <w:lang w:val="fi-FI"/>
        </w:rPr>
      </w:pPr>
      <w:r>
        <w:rPr>
          <w:lang w:val="fi-FI"/>
        </w:rPr>
        <w:lastRenderedPageBreak/>
        <w:t>Merenkulkuun ja rakennustyöhön suojainten käytöstä on säädetty erillismääräyksiä, lisäksi suojaimiin liittyvistä määräyksistä voidaan sopia myös työehtosopimuksissa.</w:t>
      </w:r>
    </w:p>
    <w:p w14:paraId="2C522BA1" w14:textId="29C69547" w:rsidR="003B651D" w:rsidRPr="003B651D" w:rsidRDefault="00EF0768" w:rsidP="0072752A">
      <w:pPr>
        <w:pStyle w:val="Otsikko2"/>
        <w:numPr>
          <w:ilvl w:val="1"/>
          <w:numId w:val="4"/>
        </w:numPr>
      </w:pPr>
      <w:bookmarkStart w:id="16" w:name="_Toc99370909"/>
      <w:r>
        <w:t>Valjastyöskentely</w:t>
      </w:r>
      <w:bookmarkEnd w:id="16"/>
    </w:p>
    <w:p w14:paraId="2ADB5FFA" w14:textId="77777777" w:rsidR="00EF0768" w:rsidRDefault="00EF0768" w:rsidP="00EF0768">
      <w:pPr>
        <w:rPr>
          <w:lang w:val="fi-FI"/>
        </w:rPr>
      </w:pPr>
      <w:r>
        <w:rPr>
          <w:lang w:val="fi-FI"/>
        </w:rPr>
        <w:t xml:space="preserve">Mikäli teknistä suojausta ei pystytä toteuttamaan, on käytettävä toissijaista vaihtoehtoa, henkilönsuojainta eli turvavaljaita. Kokovaljaita on käytettävä aina, kun putoamissuojaimen tarkoituksena on pysäyttää työntekijän putoaminen.  Kokovaljaisiin kuuluu olka- ja reisihihnat, jotka yhdessä tukevat käyttäjän kehoa, sekä vaimennin, joka vaimentaa putoamisen pysähtymisestä syntyvän nykäyksen. Vaimennin kiinnittyy liitosköydellä kiinnityspisteeseen. Vaihtoehtoisesti kelautuva tarrain koostuu vaijerikelasta ja jarrulaitteesta, jotka on rakennettu suljetuksi kokonaisuudeksi. </w:t>
      </w:r>
    </w:p>
    <w:p w14:paraId="032A5E66" w14:textId="20B5BE1B" w:rsidR="00EF0768" w:rsidRPr="00EF0768" w:rsidRDefault="00EF0768" w:rsidP="00531602">
      <w:pPr>
        <w:rPr>
          <w:noProof/>
          <w:lang w:val="fi-FI"/>
        </w:rPr>
      </w:pPr>
      <w:r>
        <w:rPr>
          <w:lang w:val="fi-FI"/>
        </w:rPr>
        <w:t>Valjaiden kanssa työskenneltäessä on aina ennakkoon suunniteltava, miten valjaiden varaan joutunut henkilö pelastetaan.</w:t>
      </w:r>
    </w:p>
    <w:p w14:paraId="33C7422D" w14:textId="35A1DED1" w:rsidR="007F22E1" w:rsidRPr="007F22E1" w:rsidRDefault="00EF0768" w:rsidP="0072752A">
      <w:pPr>
        <w:pStyle w:val="Otsikko2"/>
        <w:numPr>
          <w:ilvl w:val="1"/>
          <w:numId w:val="4"/>
        </w:numPr>
      </w:pPr>
      <w:bookmarkStart w:id="17" w:name="_Toc99370910"/>
      <w:r>
        <w:t>Nostoapuvälineet</w:t>
      </w:r>
      <w:bookmarkEnd w:id="17"/>
    </w:p>
    <w:p w14:paraId="30B6AEC9" w14:textId="00B4FAC5" w:rsidR="002B5115" w:rsidRDefault="00EF0768" w:rsidP="00101721">
      <w:pPr>
        <w:rPr>
          <w:lang w:val="fi-FI"/>
        </w:rPr>
      </w:pPr>
      <w:r>
        <w:rPr>
          <w:lang w:val="fi-FI"/>
        </w:rPr>
        <w:t>Nostoapuvälineen kunto ja merkinnät on varmistettava aina ennen käyttöä ja jos siitä puuttuu SSK-merkintä, sitä ei saa käyttää. Nostoapuvälineet ovat säilytettävä niin, että ne eivät vahingoitu tai rikkoudu säilytyksen aikana ja ne on kiinnitettävä taakkaan suunnitelluista nostopisteistä tai muuten varmistettava turvallinen nosto.  Rikkoontunutta nostoapuvälinettä ei saa käyttää.</w:t>
      </w:r>
    </w:p>
    <w:p w14:paraId="77E29842" w14:textId="7753FA7E" w:rsidR="00101721" w:rsidRPr="00101721" w:rsidRDefault="00101721" w:rsidP="00D33A3D">
      <w:pPr>
        <w:spacing w:after="0" w:line="240" w:lineRule="auto"/>
        <w:jc w:val="left"/>
        <w:rPr>
          <w:lang w:val="fi-FI"/>
        </w:rPr>
      </w:pPr>
      <w:r>
        <w:rPr>
          <w:lang w:val="fi-FI"/>
        </w:rPr>
        <w:br w:type="page"/>
      </w:r>
    </w:p>
    <w:p w14:paraId="4D81F1E8" w14:textId="51169172" w:rsidR="00AC2D57" w:rsidRDefault="00EF0768" w:rsidP="00AC2D57">
      <w:pPr>
        <w:pStyle w:val="Otsikko1"/>
      </w:pPr>
      <w:bookmarkStart w:id="18" w:name="_Toc99370911"/>
      <w:r>
        <w:lastRenderedPageBreak/>
        <w:t>Lähteet</w:t>
      </w:r>
      <w:bookmarkEnd w:id="18"/>
    </w:p>
    <w:p w14:paraId="523F6143" w14:textId="3E2DBA50" w:rsidR="001531EA" w:rsidRPr="008C143B" w:rsidRDefault="001531EA" w:rsidP="001531EA">
      <w:r w:rsidRPr="001531EA">
        <w:rPr>
          <w:lang w:val="fi-FI"/>
        </w:rPr>
        <w:t>K</w:t>
      </w:r>
      <w:r>
        <w:rPr>
          <w:lang w:val="fi-FI"/>
        </w:rPr>
        <w:t xml:space="preserve">ähkönen, K. 2008. </w:t>
      </w:r>
      <w:r w:rsidRPr="0056355D">
        <w:rPr>
          <w:lang w:val="fi-FI"/>
        </w:rPr>
        <w:t>Systemaattinen rakennustyömaan riskien ja mahdollisuuksien hallinta</w:t>
      </w:r>
      <w:r w:rsidR="00D0224B">
        <w:rPr>
          <w:lang w:val="fi-FI"/>
        </w:rPr>
        <w:t>.</w:t>
      </w:r>
      <w:r>
        <w:rPr>
          <w:lang w:val="fi-FI"/>
        </w:rPr>
        <w:t xml:space="preserve"> </w:t>
      </w:r>
      <w:r w:rsidR="00EF0768">
        <w:rPr>
          <w:lang w:val="fi-FI"/>
        </w:rPr>
        <w:t>[Viitattu:</w:t>
      </w:r>
      <w:r w:rsidR="0056355D" w:rsidRPr="008C143B">
        <w:t xml:space="preserve"> 2.1.2021</w:t>
      </w:r>
      <w:r w:rsidR="00EF0768">
        <w:t>]</w:t>
      </w:r>
      <w:r w:rsidR="0056355D" w:rsidRPr="008C143B">
        <w:t xml:space="preserve"> </w:t>
      </w:r>
      <w:r w:rsidR="00EF0768">
        <w:t>Saatavilla</w:t>
      </w:r>
      <w:r w:rsidR="0056355D" w:rsidRPr="008C143B">
        <w:t>:</w:t>
      </w:r>
      <w:r w:rsidR="0056355D" w:rsidRPr="008C143B">
        <w:rPr>
          <w:sz w:val="22"/>
          <w:szCs w:val="18"/>
        </w:rPr>
        <w:t xml:space="preserve"> </w:t>
      </w:r>
      <w:hyperlink r:id="rId13" w:history="1">
        <w:r w:rsidR="0056355D" w:rsidRPr="008C143B">
          <w:rPr>
            <w:rStyle w:val="Hyperlinkki"/>
          </w:rPr>
          <w:t>https://www.rakennustieto.fi/Downloads/RK/RK090201.pdf</w:t>
        </w:r>
      </w:hyperlink>
    </w:p>
    <w:p w14:paraId="1E4C1D48" w14:textId="43C72146" w:rsidR="00AC2D57" w:rsidRPr="001531EA" w:rsidRDefault="00AC2D57" w:rsidP="00AC2D57">
      <w:pPr>
        <w:rPr>
          <w:lang w:val="fi-FI"/>
        </w:rPr>
      </w:pPr>
      <w:r w:rsidRPr="008C143B">
        <w:t xml:space="preserve">Työturvallisuuslaki. </w:t>
      </w:r>
      <w:r w:rsidRPr="001531EA">
        <w:rPr>
          <w:lang w:val="fi-FI"/>
        </w:rPr>
        <w:t xml:space="preserve">2002. </w:t>
      </w:r>
      <w:r w:rsidR="00087948">
        <w:rPr>
          <w:lang w:val="fi-FI"/>
        </w:rPr>
        <w:t>01.01.2003</w:t>
      </w:r>
      <w:r w:rsidRPr="001531EA">
        <w:rPr>
          <w:lang w:val="fi-FI"/>
        </w:rPr>
        <w:t>/738.</w:t>
      </w:r>
    </w:p>
    <w:p w14:paraId="08CBDE07" w14:textId="03B7150E" w:rsidR="00932C73" w:rsidRPr="001531EA" w:rsidRDefault="00932C73" w:rsidP="00AC2D57">
      <w:pPr>
        <w:rPr>
          <w:lang w:val="fi-FI"/>
        </w:rPr>
      </w:pPr>
      <w:r w:rsidRPr="001531EA">
        <w:rPr>
          <w:lang w:val="fi-FI"/>
        </w:rPr>
        <w:t xml:space="preserve">Valtioneuvoston asetus rakennustyön turvallisuudesta. 2009. </w:t>
      </w:r>
      <w:r w:rsidR="00422093">
        <w:rPr>
          <w:lang w:val="fi-FI"/>
        </w:rPr>
        <w:t>01.06.2009/205</w:t>
      </w:r>
      <w:r w:rsidRPr="001531EA">
        <w:rPr>
          <w:lang w:val="fi-FI"/>
        </w:rPr>
        <w:t>.</w:t>
      </w:r>
    </w:p>
    <w:p w14:paraId="148832D2" w14:textId="5B0F2EDC" w:rsidR="001531EA" w:rsidRPr="009F1ABE" w:rsidRDefault="001531EA" w:rsidP="00AC2D57">
      <w:r w:rsidRPr="001531EA">
        <w:rPr>
          <w:lang w:val="fi-FI"/>
        </w:rPr>
        <w:t>Liski, M., Horn, S. &amp; Villanen,</w:t>
      </w:r>
      <w:r>
        <w:rPr>
          <w:lang w:val="fi-FI"/>
        </w:rPr>
        <w:t xml:space="preserve"> M. 2007. </w:t>
      </w:r>
      <w:r w:rsidRPr="00D04024">
        <w:rPr>
          <w:lang w:val="fi-FI"/>
        </w:rPr>
        <w:t>Hyvä perehdytys -opas: Kumppanuudella tuloksiin pk-yrityksissä.</w:t>
      </w:r>
      <w:r>
        <w:rPr>
          <w:lang w:val="fi-FI"/>
        </w:rPr>
        <w:t xml:space="preserve"> </w:t>
      </w:r>
      <w:r w:rsidRPr="00B36CDC">
        <w:t xml:space="preserve">Lahden ammattikorkeakoulu. </w:t>
      </w:r>
      <w:hyperlink r:id="rId14" w:history="1">
        <w:r w:rsidRPr="009F1ABE">
          <w:rPr>
            <w:rStyle w:val="Hyperlinkki"/>
          </w:rPr>
          <w:t>https://www.theseus.fi/handle/10024/133008</w:t>
        </w:r>
      </w:hyperlink>
    </w:p>
    <w:p w14:paraId="09FB6879" w14:textId="7B5173B0" w:rsidR="001531EA" w:rsidRDefault="00D0224B" w:rsidP="00AC2D57">
      <w:r>
        <w:t>Työterveyslaitoksen verkkosivusto.</w:t>
      </w:r>
      <w:r w:rsidR="009F1ABE">
        <w:t xml:space="preserve"> [</w:t>
      </w:r>
      <w:r w:rsidR="00EF0768">
        <w:t>Viitattu</w:t>
      </w:r>
      <w:r w:rsidR="009F1ABE">
        <w:t xml:space="preserve"> 2.1.2021] </w:t>
      </w:r>
      <w:r w:rsidR="00262415" w:rsidRPr="00BE0A69">
        <w:t>Työhyvinvointi.</w:t>
      </w:r>
      <w:r w:rsidR="00262415">
        <w:t xml:space="preserve"> </w:t>
      </w:r>
      <w:r w:rsidR="00EF0768">
        <w:t>Saatavilla</w:t>
      </w:r>
      <w:r w:rsidR="009F1ABE">
        <w:t xml:space="preserve">: </w:t>
      </w:r>
      <w:hyperlink r:id="rId15" w:history="1">
        <w:r w:rsidR="009F1ABE" w:rsidRPr="00E312E4">
          <w:rPr>
            <w:rStyle w:val="Hyperlinkki"/>
          </w:rPr>
          <w:t>https://www.ttl.fi/en/</w:t>
        </w:r>
      </w:hyperlink>
    </w:p>
    <w:p w14:paraId="09CBA120" w14:textId="77777777" w:rsidR="009F1ABE" w:rsidRPr="009F1ABE" w:rsidRDefault="009F1ABE" w:rsidP="00AC2D57"/>
    <w:sectPr w:rsidR="009F1ABE" w:rsidRPr="009F1ABE" w:rsidSect="006E20D8">
      <w:headerReference w:type="default" r:id="rId16"/>
      <w:footerReference w:type="default" r:id="rId17"/>
      <w:footerReference w:type="first" r:id="rId18"/>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257A4" w14:textId="77777777" w:rsidR="009C6E71" w:rsidRDefault="009C6E71" w:rsidP="00D45945">
      <w:pPr>
        <w:spacing w:after="0" w:line="240" w:lineRule="auto"/>
      </w:pPr>
      <w:r>
        <w:rPr>
          <w:lang w:val="fi"/>
        </w:rPr>
        <w:separator/>
      </w:r>
    </w:p>
  </w:endnote>
  <w:endnote w:type="continuationSeparator" w:id="0">
    <w:p w14:paraId="770D6C8E" w14:textId="77777777" w:rsidR="009C6E71" w:rsidRDefault="009C6E71" w:rsidP="00D45945">
      <w:pPr>
        <w:spacing w:after="0" w:line="240" w:lineRule="auto"/>
      </w:pPr>
      <w:r>
        <w:rPr>
          <w:lang w:val="fi"/>
        </w:rPr>
        <w:continuationSeparator/>
      </w:r>
    </w:p>
  </w:endnote>
  <w:endnote w:type="continuationNotice" w:id="1">
    <w:p w14:paraId="01DC403D" w14:textId="77777777" w:rsidR="009C6E71" w:rsidRDefault="009C6E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0ED4D344"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8419FF">
          <w:rPr>
            <w:lang w:val="fi"/>
          </w:rPr>
          <w:t xml:space="preserve"> </w:t>
        </w:r>
        <w:r w:rsidR="00D0224B">
          <w:rPr>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D912" w14:textId="77777777" w:rsidR="009C6E71" w:rsidRDefault="009C6E71" w:rsidP="00D45945">
      <w:pPr>
        <w:spacing w:after="0" w:line="240" w:lineRule="auto"/>
      </w:pPr>
      <w:r>
        <w:rPr>
          <w:lang w:val="fi"/>
        </w:rPr>
        <w:separator/>
      </w:r>
    </w:p>
  </w:footnote>
  <w:footnote w:type="continuationSeparator" w:id="0">
    <w:p w14:paraId="75305154" w14:textId="77777777" w:rsidR="009C6E71" w:rsidRDefault="009C6E71" w:rsidP="00D45945">
      <w:pPr>
        <w:spacing w:after="0" w:line="240" w:lineRule="auto"/>
      </w:pPr>
      <w:r>
        <w:rPr>
          <w:lang w:val="fi"/>
        </w:rPr>
        <w:continuationSeparator/>
      </w:r>
    </w:p>
  </w:footnote>
  <w:footnote w:type="continuationNotice" w:id="1">
    <w:p w14:paraId="5BA89048" w14:textId="77777777" w:rsidR="009C6E71" w:rsidRDefault="009C6E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9A03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F802B1"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multilevel"/>
    <w:tmpl w:val="2EA01958"/>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 w15:restartNumberingAfterBreak="0">
    <w:nsid w:val="6B712659"/>
    <w:multiLevelType w:val="hybridMultilevel"/>
    <w:tmpl w:val="AC746F82"/>
    <w:lvl w:ilvl="0" w:tplc="27985B58">
      <w:numFmt w:val="bullet"/>
      <w:lvlText w:val="•"/>
      <w:lvlJc w:val="left"/>
      <w:pPr>
        <w:ind w:left="1080" w:hanging="720"/>
      </w:pPr>
      <w:rPr>
        <w:rFonts w:ascii="Verdana" w:eastAsiaTheme="minorHAnsi" w:hAnsi="Verdana" w:cstheme="minorBidi" w:hint="default"/>
      </w:rPr>
    </w:lvl>
    <w:lvl w:ilvl="1" w:tplc="3880EB8A">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816610299">
    <w:abstractNumId w:val="2"/>
  </w:num>
  <w:num w:numId="2" w16cid:durableId="1350063296">
    <w:abstractNumId w:val="1"/>
  </w:num>
  <w:num w:numId="3" w16cid:durableId="2127848363">
    <w:abstractNumId w:val="0"/>
  </w:num>
  <w:num w:numId="4" w16cid:durableId="1931739417">
    <w:abstractNumId w:val="1"/>
    <w:lvlOverride w:ilvl="0">
      <w:startOverride w:val="7"/>
    </w:lvlOverride>
    <w:lvlOverride w:ilvl="1">
      <w:startOverride w:val="4"/>
    </w:lvlOverride>
  </w:num>
  <w:num w:numId="5" w16cid:durableId="7644260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18AA"/>
    <w:rsid w:val="00052537"/>
    <w:rsid w:val="00053C4E"/>
    <w:rsid w:val="000544A9"/>
    <w:rsid w:val="0005527A"/>
    <w:rsid w:val="000554ED"/>
    <w:rsid w:val="00056723"/>
    <w:rsid w:val="000578DC"/>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90"/>
    <w:rsid w:val="00082F92"/>
    <w:rsid w:val="00083BAA"/>
    <w:rsid w:val="0008449D"/>
    <w:rsid w:val="0008476B"/>
    <w:rsid w:val="00084C0C"/>
    <w:rsid w:val="00085B5A"/>
    <w:rsid w:val="00085D7B"/>
    <w:rsid w:val="00087948"/>
    <w:rsid w:val="00087D85"/>
    <w:rsid w:val="00090E6C"/>
    <w:rsid w:val="000915F6"/>
    <w:rsid w:val="000917D0"/>
    <w:rsid w:val="00092E1B"/>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721"/>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29A3"/>
    <w:rsid w:val="0012336E"/>
    <w:rsid w:val="00123DAA"/>
    <w:rsid w:val="001252FF"/>
    <w:rsid w:val="001257F7"/>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1EA"/>
    <w:rsid w:val="0015407A"/>
    <w:rsid w:val="0015439F"/>
    <w:rsid w:val="00154656"/>
    <w:rsid w:val="00156A43"/>
    <w:rsid w:val="00156B81"/>
    <w:rsid w:val="00157CA5"/>
    <w:rsid w:val="0016054D"/>
    <w:rsid w:val="001611DC"/>
    <w:rsid w:val="00162A62"/>
    <w:rsid w:val="00162E63"/>
    <w:rsid w:val="001637FA"/>
    <w:rsid w:val="0016423A"/>
    <w:rsid w:val="001652BA"/>
    <w:rsid w:val="00165D5C"/>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6FA9"/>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80"/>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C63"/>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15"/>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4DAA"/>
    <w:rsid w:val="0028604B"/>
    <w:rsid w:val="00286353"/>
    <w:rsid w:val="00286955"/>
    <w:rsid w:val="002869BE"/>
    <w:rsid w:val="0028725E"/>
    <w:rsid w:val="00291CAF"/>
    <w:rsid w:val="002926E6"/>
    <w:rsid w:val="00293637"/>
    <w:rsid w:val="002949E6"/>
    <w:rsid w:val="00295359"/>
    <w:rsid w:val="00295D20"/>
    <w:rsid w:val="00297FC5"/>
    <w:rsid w:val="002A06CA"/>
    <w:rsid w:val="002A1042"/>
    <w:rsid w:val="002A10EB"/>
    <w:rsid w:val="002A1225"/>
    <w:rsid w:val="002A19E5"/>
    <w:rsid w:val="002A4107"/>
    <w:rsid w:val="002A53A7"/>
    <w:rsid w:val="002A546F"/>
    <w:rsid w:val="002A5C24"/>
    <w:rsid w:val="002A7D9C"/>
    <w:rsid w:val="002B0B1D"/>
    <w:rsid w:val="002B0B48"/>
    <w:rsid w:val="002B1C64"/>
    <w:rsid w:val="002B1F0D"/>
    <w:rsid w:val="002B3857"/>
    <w:rsid w:val="002B3B0B"/>
    <w:rsid w:val="002B5115"/>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13A5"/>
    <w:rsid w:val="002E4239"/>
    <w:rsid w:val="002E4CA3"/>
    <w:rsid w:val="002E5A52"/>
    <w:rsid w:val="002E60CF"/>
    <w:rsid w:val="002E6CD7"/>
    <w:rsid w:val="002E7350"/>
    <w:rsid w:val="002F2B38"/>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37770"/>
    <w:rsid w:val="003402D2"/>
    <w:rsid w:val="00340369"/>
    <w:rsid w:val="003405ED"/>
    <w:rsid w:val="00341892"/>
    <w:rsid w:val="00342377"/>
    <w:rsid w:val="00343325"/>
    <w:rsid w:val="00343FCB"/>
    <w:rsid w:val="00344A13"/>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4D"/>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587"/>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0ADB"/>
    <w:rsid w:val="004214F6"/>
    <w:rsid w:val="00421700"/>
    <w:rsid w:val="00422093"/>
    <w:rsid w:val="004222F2"/>
    <w:rsid w:val="00422CD0"/>
    <w:rsid w:val="004243E0"/>
    <w:rsid w:val="0042515D"/>
    <w:rsid w:val="00427CE3"/>
    <w:rsid w:val="00431F57"/>
    <w:rsid w:val="00432536"/>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690"/>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010"/>
    <w:rsid w:val="004A38A4"/>
    <w:rsid w:val="004A5193"/>
    <w:rsid w:val="004A5A26"/>
    <w:rsid w:val="004A61D9"/>
    <w:rsid w:val="004A62C5"/>
    <w:rsid w:val="004A75B6"/>
    <w:rsid w:val="004A76F2"/>
    <w:rsid w:val="004A7EB3"/>
    <w:rsid w:val="004B2632"/>
    <w:rsid w:val="004B3B5E"/>
    <w:rsid w:val="004B4085"/>
    <w:rsid w:val="004B5582"/>
    <w:rsid w:val="004C1067"/>
    <w:rsid w:val="004C2205"/>
    <w:rsid w:val="004C25A9"/>
    <w:rsid w:val="004C3670"/>
    <w:rsid w:val="004D0771"/>
    <w:rsid w:val="004D0E18"/>
    <w:rsid w:val="004D0FD1"/>
    <w:rsid w:val="004D1012"/>
    <w:rsid w:val="004D2D1B"/>
    <w:rsid w:val="004D490B"/>
    <w:rsid w:val="004D62DE"/>
    <w:rsid w:val="004D6BA7"/>
    <w:rsid w:val="004D6D0C"/>
    <w:rsid w:val="004D7309"/>
    <w:rsid w:val="004D7A5F"/>
    <w:rsid w:val="004E178E"/>
    <w:rsid w:val="004E1A5A"/>
    <w:rsid w:val="004E1CEE"/>
    <w:rsid w:val="004E1DBF"/>
    <w:rsid w:val="004E355C"/>
    <w:rsid w:val="004E49A3"/>
    <w:rsid w:val="004E5369"/>
    <w:rsid w:val="004E5F3C"/>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6454"/>
    <w:rsid w:val="00526611"/>
    <w:rsid w:val="00527919"/>
    <w:rsid w:val="0053033F"/>
    <w:rsid w:val="00530504"/>
    <w:rsid w:val="00530C79"/>
    <w:rsid w:val="005314E7"/>
    <w:rsid w:val="00531602"/>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634"/>
    <w:rsid w:val="00561806"/>
    <w:rsid w:val="0056355D"/>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397D"/>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1914"/>
    <w:rsid w:val="006B42F3"/>
    <w:rsid w:val="006B4480"/>
    <w:rsid w:val="006B464B"/>
    <w:rsid w:val="006B4723"/>
    <w:rsid w:val="006B5601"/>
    <w:rsid w:val="006B7172"/>
    <w:rsid w:val="006B7B66"/>
    <w:rsid w:val="006B7FCA"/>
    <w:rsid w:val="006C008E"/>
    <w:rsid w:val="006C0812"/>
    <w:rsid w:val="006C0994"/>
    <w:rsid w:val="006C11F9"/>
    <w:rsid w:val="006C3DDE"/>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4389"/>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52A"/>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5676"/>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902"/>
    <w:rsid w:val="00771E95"/>
    <w:rsid w:val="007728BC"/>
    <w:rsid w:val="00774304"/>
    <w:rsid w:val="0077433D"/>
    <w:rsid w:val="007743BC"/>
    <w:rsid w:val="00776326"/>
    <w:rsid w:val="007763F5"/>
    <w:rsid w:val="00776AAD"/>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7314"/>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699"/>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7F6D29"/>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6AA"/>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149E"/>
    <w:rsid w:val="0084181D"/>
    <w:rsid w:val="008419FF"/>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43B"/>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0E41"/>
    <w:rsid w:val="00931540"/>
    <w:rsid w:val="00931AD8"/>
    <w:rsid w:val="00932660"/>
    <w:rsid w:val="00932C73"/>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67BF7"/>
    <w:rsid w:val="009704D1"/>
    <w:rsid w:val="0097080B"/>
    <w:rsid w:val="00970CCB"/>
    <w:rsid w:val="00970FFA"/>
    <w:rsid w:val="0097120C"/>
    <w:rsid w:val="0097442E"/>
    <w:rsid w:val="00974686"/>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49"/>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6E71"/>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1ABE"/>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2AD1"/>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B6D"/>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000"/>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CBE"/>
    <w:rsid w:val="00A64851"/>
    <w:rsid w:val="00A6488C"/>
    <w:rsid w:val="00A6493D"/>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2D57"/>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6CDC"/>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46F7"/>
    <w:rsid w:val="00B64891"/>
    <w:rsid w:val="00B66329"/>
    <w:rsid w:val="00B6792A"/>
    <w:rsid w:val="00B67C9D"/>
    <w:rsid w:val="00B67CD2"/>
    <w:rsid w:val="00B72656"/>
    <w:rsid w:val="00B73AFF"/>
    <w:rsid w:val="00B73E14"/>
    <w:rsid w:val="00B741E2"/>
    <w:rsid w:val="00B748F4"/>
    <w:rsid w:val="00B76695"/>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52C"/>
    <w:rsid w:val="00BC694F"/>
    <w:rsid w:val="00BC6DEA"/>
    <w:rsid w:val="00BC7218"/>
    <w:rsid w:val="00BC77C3"/>
    <w:rsid w:val="00BC7B54"/>
    <w:rsid w:val="00BD0861"/>
    <w:rsid w:val="00BD1C01"/>
    <w:rsid w:val="00BD27A0"/>
    <w:rsid w:val="00BD725E"/>
    <w:rsid w:val="00BD7C7A"/>
    <w:rsid w:val="00BE0A69"/>
    <w:rsid w:val="00BE26A5"/>
    <w:rsid w:val="00BE49CC"/>
    <w:rsid w:val="00BE4F97"/>
    <w:rsid w:val="00BE598D"/>
    <w:rsid w:val="00BE6EC3"/>
    <w:rsid w:val="00BE6F8A"/>
    <w:rsid w:val="00BE7689"/>
    <w:rsid w:val="00BF0ECB"/>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1D3"/>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4DE8"/>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4B8B"/>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1BCB"/>
    <w:rsid w:val="00D0224B"/>
    <w:rsid w:val="00D03B19"/>
    <w:rsid w:val="00D04024"/>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0CC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A3D"/>
    <w:rsid w:val="00D33CF9"/>
    <w:rsid w:val="00D34360"/>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1715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FC0"/>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AD3"/>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4BFB"/>
    <w:rsid w:val="00EE0952"/>
    <w:rsid w:val="00EE261E"/>
    <w:rsid w:val="00EE2D06"/>
    <w:rsid w:val="00EE3865"/>
    <w:rsid w:val="00EE7C5F"/>
    <w:rsid w:val="00EE7EA3"/>
    <w:rsid w:val="00EF020C"/>
    <w:rsid w:val="00EF0768"/>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168E"/>
    <w:rsid w:val="00F438C0"/>
    <w:rsid w:val="00F439B4"/>
    <w:rsid w:val="00F45AFA"/>
    <w:rsid w:val="00F45F68"/>
    <w:rsid w:val="00F46383"/>
    <w:rsid w:val="00F465A2"/>
    <w:rsid w:val="00F4719F"/>
    <w:rsid w:val="00F472DC"/>
    <w:rsid w:val="00F475C4"/>
    <w:rsid w:val="00F47E19"/>
    <w:rsid w:val="00F50026"/>
    <w:rsid w:val="00F504B3"/>
    <w:rsid w:val="00F51079"/>
    <w:rsid w:val="00F528AB"/>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5C9D"/>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1A74"/>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621EDC"/>
    <w:rPr>
      <w:color w:val="605E5C"/>
      <w:shd w:val="clear" w:color="auto" w:fill="E1DFDD"/>
    </w:rPr>
  </w:style>
  <w:style w:type="character" w:styleId="AvattuHyperlinkki">
    <w:name w:val="FollowedHyperlink"/>
    <w:basedOn w:val="Kappaleenoletusfontti"/>
    <w:uiPriority w:val="99"/>
    <w:semiHidden/>
    <w:unhideWhenUsed/>
    <w:rsid w:val="00EF07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1736">
      <w:bodyDiv w:val="1"/>
      <w:marLeft w:val="0"/>
      <w:marRight w:val="0"/>
      <w:marTop w:val="0"/>
      <w:marBottom w:val="0"/>
      <w:divBdr>
        <w:top w:val="none" w:sz="0" w:space="0" w:color="auto"/>
        <w:left w:val="none" w:sz="0" w:space="0" w:color="auto"/>
        <w:bottom w:val="none" w:sz="0" w:space="0" w:color="auto"/>
        <w:right w:val="none" w:sz="0" w:space="0" w:color="auto"/>
      </w:divBdr>
      <w:divsChild>
        <w:div w:id="2000191023">
          <w:marLeft w:val="126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0243246">
      <w:bodyDiv w:val="1"/>
      <w:marLeft w:val="0"/>
      <w:marRight w:val="0"/>
      <w:marTop w:val="0"/>
      <w:marBottom w:val="0"/>
      <w:divBdr>
        <w:top w:val="none" w:sz="0" w:space="0" w:color="auto"/>
        <w:left w:val="none" w:sz="0" w:space="0" w:color="auto"/>
        <w:bottom w:val="none" w:sz="0" w:space="0" w:color="auto"/>
        <w:right w:val="none" w:sz="0" w:space="0" w:color="auto"/>
      </w:divBdr>
      <w:divsChild>
        <w:div w:id="1883052207">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1195449">
      <w:bodyDiv w:val="1"/>
      <w:marLeft w:val="0"/>
      <w:marRight w:val="0"/>
      <w:marTop w:val="0"/>
      <w:marBottom w:val="0"/>
      <w:divBdr>
        <w:top w:val="none" w:sz="0" w:space="0" w:color="auto"/>
        <w:left w:val="none" w:sz="0" w:space="0" w:color="auto"/>
        <w:bottom w:val="none" w:sz="0" w:space="0" w:color="auto"/>
        <w:right w:val="none" w:sz="0" w:space="0" w:color="auto"/>
      </w:divBdr>
      <w:divsChild>
        <w:div w:id="998314792">
          <w:marLeft w:val="126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69949935">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6012">
      <w:bodyDiv w:val="1"/>
      <w:marLeft w:val="0"/>
      <w:marRight w:val="0"/>
      <w:marTop w:val="0"/>
      <w:marBottom w:val="0"/>
      <w:divBdr>
        <w:top w:val="none" w:sz="0" w:space="0" w:color="auto"/>
        <w:left w:val="none" w:sz="0" w:space="0" w:color="auto"/>
        <w:bottom w:val="none" w:sz="0" w:space="0" w:color="auto"/>
        <w:right w:val="none" w:sz="0" w:space="0" w:color="auto"/>
      </w:divBdr>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95531970">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00522478">
      <w:bodyDiv w:val="1"/>
      <w:marLeft w:val="0"/>
      <w:marRight w:val="0"/>
      <w:marTop w:val="0"/>
      <w:marBottom w:val="0"/>
      <w:divBdr>
        <w:top w:val="none" w:sz="0" w:space="0" w:color="auto"/>
        <w:left w:val="none" w:sz="0" w:space="0" w:color="auto"/>
        <w:bottom w:val="none" w:sz="0" w:space="0" w:color="auto"/>
        <w:right w:val="none" w:sz="0" w:space="0" w:color="auto"/>
      </w:divBdr>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56264918">
      <w:bodyDiv w:val="1"/>
      <w:marLeft w:val="0"/>
      <w:marRight w:val="0"/>
      <w:marTop w:val="0"/>
      <w:marBottom w:val="0"/>
      <w:divBdr>
        <w:top w:val="none" w:sz="0" w:space="0" w:color="auto"/>
        <w:left w:val="none" w:sz="0" w:space="0" w:color="auto"/>
        <w:bottom w:val="none" w:sz="0" w:space="0" w:color="auto"/>
        <w:right w:val="none" w:sz="0" w:space="0" w:color="auto"/>
      </w:divBdr>
      <w:divsChild>
        <w:div w:id="2019843293">
          <w:marLeft w:val="547"/>
          <w:marRight w:val="0"/>
          <w:marTop w:val="0"/>
          <w:marBottom w:val="0"/>
          <w:divBdr>
            <w:top w:val="none" w:sz="0" w:space="0" w:color="auto"/>
            <w:left w:val="none" w:sz="0" w:space="0" w:color="auto"/>
            <w:bottom w:val="none" w:sz="0" w:space="0" w:color="auto"/>
            <w:right w:val="none" w:sz="0" w:space="0" w:color="auto"/>
          </w:divBdr>
        </w:div>
      </w:divsChild>
    </w:div>
    <w:div w:id="474690186">
      <w:bodyDiv w:val="1"/>
      <w:marLeft w:val="0"/>
      <w:marRight w:val="0"/>
      <w:marTop w:val="0"/>
      <w:marBottom w:val="0"/>
      <w:divBdr>
        <w:top w:val="none" w:sz="0" w:space="0" w:color="auto"/>
        <w:left w:val="none" w:sz="0" w:space="0" w:color="auto"/>
        <w:bottom w:val="none" w:sz="0" w:space="0" w:color="auto"/>
        <w:right w:val="none" w:sz="0" w:space="0" w:color="auto"/>
      </w:divBdr>
    </w:div>
    <w:div w:id="509025279">
      <w:bodyDiv w:val="1"/>
      <w:marLeft w:val="0"/>
      <w:marRight w:val="0"/>
      <w:marTop w:val="0"/>
      <w:marBottom w:val="0"/>
      <w:divBdr>
        <w:top w:val="none" w:sz="0" w:space="0" w:color="auto"/>
        <w:left w:val="none" w:sz="0" w:space="0" w:color="auto"/>
        <w:bottom w:val="none" w:sz="0" w:space="0" w:color="auto"/>
        <w:right w:val="none" w:sz="0" w:space="0" w:color="auto"/>
      </w:divBdr>
    </w:div>
    <w:div w:id="516386244">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56163580">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2536018">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8908303">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47720035">
      <w:bodyDiv w:val="1"/>
      <w:marLeft w:val="0"/>
      <w:marRight w:val="0"/>
      <w:marTop w:val="0"/>
      <w:marBottom w:val="0"/>
      <w:divBdr>
        <w:top w:val="none" w:sz="0" w:space="0" w:color="auto"/>
        <w:left w:val="none" w:sz="0" w:space="0" w:color="auto"/>
        <w:bottom w:val="none" w:sz="0" w:space="0" w:color="auto"/>
        <w:right w:val="none" w:sz="0" w:space="0" w:color="auto"/>
      </w:divBdr>
      <w:divsChild>
        <w:div w:id="133453277">
          <w:marLeft w:val="547"/>
          <w:marRight w:val="0"/>
          <w:marTop w:val="0"/>
          <w:marBottom w:val="0"/>
          <w:divBdr>
            <w:top w:val="none" w:sz="0" w:space="0" w:color="auto"/>
            <w:left w:val="none" w:sz="0" w:space="0" w:color="auto"/>
            <w:bottom w:val="none" w:sz="0" w:space="0" w:color="auto"/>
            <w:right w:val="none" w:sz="0" w:space="0" w:color="auto"/>
          </w:divBdr>
        </w:div>
      </w:divsChild>
    </w:div>
    <w:div w:id="860044249">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666736">
      <w:bodyDiv w:val="1"/>
      <w:marLeft w:val="0"/>
      <w:marRight w:val="0"/>
      <w:marTop w:val="0"/>
      <w:marBottom w:val="0"/>
      <w:divBdr>
        <w:top w:val="none" w:sz="0" w:space="0" w:color="auto"/>
        <w:left w:val="none" w:sz="0" w:space="0" w:color="auto"/>
        <w:bottom w:val="none" w:sz="0" w:space="0" w:color="auto"/>
        <w:right w:val="none" w:sz="0" w:space="0" w:color="auto"/>
      </w:divBdr>
      <w:divsChild>
        <w:div w:id="2072998818">
          <w:marLeft w:val="1267"/>
          <w:marRight w:val="0"/>
          <w:marTop w:val="0"/>
          <w:marBottom w:val="0"/>
          <w:divBdr>
            <w:top w:val="none" w:sz="0" w:space="0" w:color="auto"/>
            <w:left w:val="none" w:sz="0" w:space="0" w:color="auto"/>
            <w:bottom w:val="none" w:sz="0" w:space="0" w:color="auto"/>
            <w:right w:val="none" w:sz="0" w:space="0" w:color="auto"/>
          </w:divBdr>
        </w:div>
      </w:divsChild>
    </w:div>
    <w:div w:id="909269703">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89333877">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33730071">
      <w:bodyDiv w:val="1"/>
      <w:marLeft w:val="0"/>
      <w:marRight w:val="0"/>
      <w:marTop w:val="0"/>
      <w:marBottom w:val="0"/>
      <w:divBdr>
        <w:top w:val="none" w:sz="0" w:space="0" w:color="auto"/>
        <w:left w:val="none" w:sz="0" w:space="0" w:color="auto"/>
        <w:bottom w:val="none" w:sz="0" w:space="0" w:color="auto"/>
        <w:right w:val="none" w:sz="0" w:space="0" w:color="auto"/>
      </w:divBdr>
    </w:div>
    <w:div w:id="1066802458">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3857353">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266383986">
      <w:bodyDiv w:val="1"/>
      <w:marLeft w:val="0"/>
      <w:marRight w:val="0"/>
      <w:marTop w:val="0"/>
      <w:marBottom w:val="0"/>
      <w:divBdr>
        <w:top w:val="none" w:sz="0" w:space="0" w:color="auto"/>
        <w:left w:val="none" w:sz="0" w:space="0" w:color="auto"/>
        <w:bottom w:val="none" w:sz="0" w:space="0" w:color="auto"/>
        <w:right w:val="none" w:sz="0" w:space="0" w:color="auto"/>
      </w:divBdr>
    </w:div>
    <w:div w:id="1308515804">
      <w:bodyDiv w:val="1"/>
      <w:marLeft w:val="0"/>
      <w:marRight w:val="0"/>
      <w:marTop w:val="0"/>
      <w:marBottom w:val="0"/>
      <w:divBdr>
        <w:top w:val="none" w:sz="0" w:space="0" w:color="auto"/>
        <w:left w:val="none" w:sz="0" w:space="0" w:color="auto"/>
        <w:bottom w:val="none" w:sz="0" w:space="0" w:color="auto"/>
        <w:right w:val="none" w:sz="0" w:space="0" w:color="auto"/>
      </w:divBdr>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1916407">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0947623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162">
      <w:bodyDiv w:val="1"/>
      <w:marLeft w:val="0"/>
      <w:marRight w:val="0"/>
      <w:marTop w:val="0"/>
      <w:marBottom w:val="0"/>
      <w:divBdr>
        <w:top w:val="none" w:sz="0" w:space="0" w:color="auto"/>
        <w:left w:val="none" w:sz="0" w:space="0" w:color="auto"/>
        <w:bottom w:val="none" w:sz="0" w:space="0" w:color="auto"/>
        <w:right w:val="none" w:sz="0" w:space="0" w:color="auto"/>
      </w:divBdr>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16105165">
      <w:bodyDiv w:val="1"/>
      <w:marLeft w:val="0"/>
      <w:marRight w:val="0"/>
      <w:marTop w:val="0"/>
      <w:marBottom w:val="0"/>
      <w:divBdr>
        <w:top w:val="none" w:sz="0" w:space="0" w:color="auto"/>
        <w:left w:val="none" w:sz="0" w:space="0" w:color="auto"/>
        <w:bottom w:val="none" w:sz="0" w:space="0" w:color="auto"/>
        <w:right w:val="none" w:sz="0" w:space="0" w:color="auto"/>
      </w:divBdr>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kennustieto.fi/Downloads/RK/RK09020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tl.fi/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eus.fi/handle/10024/1330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1B88F7-BA70-42A4-A9A1-46F596DC48DD}">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1672</Words>
  <Characters>13546</Characters>
  <Application>Microsoft Office Word</Application>
  <DocSecurity>0</DocSecurity>
  <Lines>112</Lines>
  <Paragraphs>30</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15188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2020-12-15T15:55:00Z</dcterms:created>
  <dcterms:modified xsi:type="dcterms:W3CDTF">2022-04-19T19:16:00Z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